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E7EF" w14:textId="21647265" w:rsidR="00BF724D" w:rsidRDefault="00BF724D" w:rsidP="006D5717">
      <w:pPr>
        <w:spacing w:before="100" w:beforeAutospacing="1" w:after="100" w:afterAutospacing="1"/>
        <w:rPr>
          <w:rFonts w:ascii="Times" w:eastAsia="Times New Roman" w:hAnsi="Times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>História do Islão Medieval</w:t>
      </w:r>
    </w:p>
    <w:p w14:paraId="316F729A" w14:textId="77777777" w:rsidR="006D5717" w:rsidRDefault="00BF724D" w:rsidP="006D5717">
      <w:pPr>
        <w:spacing w:before="100" w:beforeAutospacing="1" w:after="100" w:afterAutospacing="1"/>
        <w:rPr>
          <w:rFonts w:ascii="Times" w:eastAsia="Times New Roman" w:hAnsi="Times" w:cs="Times New Roman"/>
          <w:lang w:eastAsia="pt-PT"/>
        </w:rPr>
      </w:pPr>
      <w:r>
        <w:rPr>
          <w:rFonts w:ascii="Times" w:eastAsia="Times New Roman" w:hAnsi="Times" w:cs="Times New Roman"/>
          <w:lang w:eastAsia="pt-PT"/>
        </w:rPr>
        <w:t xml:space="preserve">Nota prévia: Os descritores infra forem elaborados em 2011, necessitando, pontualmente, de </w:t>
      </w:r>
      <w:proofErr w:type="spellStart"/>
      <w:r>
        <w:rPr>
          <w:rFonts w:ascii="Times" w:eastAsia="Times New Roman" w:hAnsi="Times" w:cs="Times New Roman"/>
          <w:lang w:eastAsia="pt-PT"/>
        </w:rPr>
        <w:t>actualização</w:t>
      </w:r>
      <w:proofErr w:type="spellEnd"/>
      <w:r>
        <w:rPr>
          <w:rFonts w:ascii="Times" w:eastAsia="Times New Roman" w:hAnsi="Times" w:cs="Times New Roman"/>
          <w:lang w:eastAsia="pt-PT"/>
        </w:rPr>
        <w:t xml:space="preserve">. Foram ainda escritos tendo em vista um semestre composto por tempos </w:t>
      </w:r>
      <w:proofErr w:type="spellStart"/>
      <w:r>
        <w:rPr>
          <w:rFonts w:ascii="Times" w:eastAsia="Times New Roman" w:hAnsi="Times" w:cs="Times New Roman"/>
          <w:lang w:eastAsia="pt-PT"/>
        </w:rPr>
        <w:t>lectivos</w:t>
      </w:r>
      <w:proofErr w:type="spellEnd"/>
      <w:r>
        <w:rPr>
          <w:rFonts w:ascii="Times" w:eastAsia="Times New Roman" w:hAnsi="Times" w:cs="Times New Roman"/>
          <w:lang w:eastAsia="pt-PT"/>
        </w:rPr>
        <w:t xml:space="preserve"> de 4 horas semanais</w:t>
      </w:r>
      <w:r w:rsidR="00B32E86">
        <w:rPr>
          <w:rFonts w:ascii="Times" w:eastAsia="Times New Roman" w:hAnsi="Times" w:cs="Times New Roman"/>
          <w:lang w:eastAsia="pt-PT"/>
        </w:rPr>
        <w:t>, sem distinção entre TP e T</w:t>
      </w:r>
      <w:r w:rsidR="006D5717">
        <w:rPr>
          <w:rFonts w:ascii="Times" w:eastAsia="Times New Roman" w:hAnsi="Times" w:cs="Times New Roman"/>
          <w:lang w:eastAsia="pt-PT"/>
        </w:rPr>
        <w:t xml:space="preserve">. </w:t>
      </w:r>
    </w:p>
    <w:p w14:paraId="25855D64" w14:textId="29E0D59B" w:rsidR="00BF724D" w:rsidRPr="00BF724D" w:rsidRDefault="00C04577" w:rsidP="006D5717">
      <w:pPr>
        <w:spacing w:before="100" w:beforeAutospacing="1" w:after="100" w:afterAutospacing="1"/>
        <w:rPr>
          <w:rFonts w:ascii="Times" w:eastAsia="Times New Roman" w:hAnsi="Times" w:cs="Times New Roman"/>
          <w:lang w:eastAsia="pt-PT"/>
        </w:rPr>
      </w:pPr>
      <w:r>
        <w:rPr>
          <w:rFonts w:ascii="Times" w:eastAsia="Times New Roman" w:hAnsi="Times" w:cs="Times New Roman"/>
          <w:lang w:eastAsia="pt-PT"/>
        </w:rPr>
        <w:t xml:space="preserve">Todos eles se encontram no Repositório da </w:t>
      </w:r>
      <w:proofErr w:type="spellStart"/>
      <w:r>
        <w:rPr>
          <w:rFonts w:ascii="Times" w:eastAsia="Times New Roman" w:hAnsi="Times" w:cs="Times New Roman"/>
          <w:lang w:eastAsia="pt-PT"/>
        </w:rPr>
        <w:t>ULisboa</w:t>
      </w:r>
      <w:proofErr w:type="spellEnd"/>
      <w:r>
        <w:rPr>
          <w:rFonts w:ascii="Times" w:eastAsia="Times New Roman" w:hAnsi="Times" w:cs="Times New Roman"/>
          <w:lang w:eastAsia="pt-PT"/>
        </w:rPr>
        <w:t xml:space="preserve"> e </w:t>
      </w:r>
      <w:r w:rsidRPr="00C04577">
        <w:rPr>
          <w:rFonts w:ascii="Times" w:eastAsia="Times New Roman" w:hAnsi="Times" w:cs="Times New Roman"/>
          <w:b/>
          <w:bCs/>
          <w:lang w:eastAsia="pt-PT"/>
        </w:rPr>
        <w:t>estão sujeitos a direitos de autor</w:t>
      </w:r>
      <w:r>
        <w:rPr>
          <w:rFonts w:ascii="Times" w:eastAsia="Times New Roman" w:hAnsi="Times" w:cs="Times New Roman"/>
          <w:lang w:eastAsia="pt-PT"/>
        </w:rPr>
        <w:t xml:space="preserve"> não podendo ser divulgados ou utilizados fora das aulas desta cadeira.</w:t>
      </w:r>
    </w:p>
    <w:p w14:paraId="6768BB4E" w14:textId="176252D8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Descritores das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Lições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</w:p>
    <w:p w14:paraId="37E67AE6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cuja sinopse se dá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infra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seguem, como deviam, o Programa da disciplina.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foi concebido para se acomodar ponto por ponto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sequência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unidades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lectivas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Nem está na natureza deste docente seguir rigidamente um esquema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́-delimitado. Como as aulas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nenhum caso escritas – nem sequer sob a forma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pudessem servir de guias durante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– o modelo seguido é o do improviso – entendido aqui no sentido do jazz ou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música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barroca – regrado sobre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servem de fio condutor. Isso dá a cada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 cunho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irrepetível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creio estar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essência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mesma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profissão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universitária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segue assim nenhum rumo artificialmente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pedagógico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julgo redundante e deslocado neste grau de ensino porque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contrário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à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essência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Isso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impede,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bom improviso é aquele que foi cuidadosamente planeado, que todos os pontos do programa sejam abordados com a meticulosidade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um semestre e que a estrutura fundamental seja observada com rigor. Por todas estas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razões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ordem dada de seguida é uma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possíveis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variações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aqui executadas sobre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esgotam o conjunto de possibilidades.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público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discente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deixaria aqui, no entanto, de reconhecer todos os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leit-motiven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que lhe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familiares. </w:t>
      </w:r>
    </w:p>
    <w:p w14:paraId="2005A20C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 Programa está estruturado em cinco partes, das quais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três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centrais formam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tríptico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correspondente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Clássico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primeira servindo ao mesmo tempo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apresentação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nucleares 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discussão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anterioridades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constituindo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epílogo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anunciador da decisiva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mudança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a esfera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influência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turca.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Esboça-se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assim, ao mesmo tempo que se percorrem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nucleares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identidade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uma abordagem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cronológica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visa apresentar os estudantes aos ritmos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multi-seculares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caracterizam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evolução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sociedade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Oriente, da crise (I) ao crescimento (II e III), daí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estagnação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(IV) e, por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(IV e V).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Guardámo-nos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periodizações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mecânicas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sobreposições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contradições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interior de um mesmo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foram assinaladas pelo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carácter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aberto da cronologia entre cada uma das partes constituintes do Programa. </w:t>
      </w:r>
    </w:p>
    <w:p w14:paraId="297D3284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I- Como chegou 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Islão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a ser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possível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(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sécs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VI-VII) </w:t>
      </w:r>
    </w:p>
    <w:p w14:paraId="4307B131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pórtico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introdução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aquela que aqui se ensaia, para as primeiras etapas da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identitária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primeira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nos assalta é a da magnitude do sucesso do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Ela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mensurável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sobretudo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duas ordens de problemas. O primeiro prende-se com a rapidez sem paralelo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nesse sentido,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natureza aparentemente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militar. O segundo revela-se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sobrevivência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identidade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muito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fim da unidade da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(Comunidade)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 e entra, por isso,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religioso 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identitário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Compreender este processo implica, assim, um olhar na longa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tenha em conta os lentos processos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identitária</w:t>
      </w:r>
      <w:proofErr w:type="spellEnd"/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 sobretudo, o que está antes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proposta explicativa, aqui, é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justamente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íntima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conexão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essas anterioridades que se encontra a chave para decifrar o seu sucesso vertiginoso. O que vem colocar necessariamente o acento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sobre os processos de continuidade, relegando para segundo plano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rupturas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qualquer entidade religiosa com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pretensão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se constituir em sistema explicativo universal – como todos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– sobretudo quando acompanhada de um programa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sempre implica. </w:t>
      </w:r>
    </w:p>
    <w:p w14:paraId="19258A55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1. Cidades, rotas e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impérios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e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a </w:t>
      </w:r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>Koine</w:t>
      </w:r>
      <w:proofErr w:type="spellEnd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 xml:space="preserve">́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helenística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entre o mundo grego e o persa. </w:t>
      </w:r>
    </w:p>
    <w:p w14:paraId="26089696" w14:textId="3AD8A253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br/>
        <w:t xml:space="preserve">Apoios: mapa da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expansão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islâmica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; mapa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relação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entre mundo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islâmico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e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impérios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anteriores;</w:t>
      </w:r>
      <w:r w:rsidR="006D5717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>cidades</w:t>
      </w:r>
      <w:r w:rsidR="006D5717">
        <w:rPr>
          <w:rFonts w:ascii="Times" w:eastAsia="Times New Roman" w:hAnsi="Times" w:cs="Times New Roman"/>
          <w:b/>
          <w:bCs/>
          <w:lang w:eastAsia="pt-PT"/>
        </w:rPr>
        <w:t xml:space="preserve">. </w:t>
      </w:r>
      <w:r w:rsidRPr="00BF724D">
        <w:rPr>
          <w:rFonts w:ascii="Times" w:eastAsia="Times New Roman" w:hAnsi="Times" w:cs="Times New Roman"/>
          <w:b/>
          <w:bCs/>
          <w:lang w:eastAsia="pt-PT"/>
        </w:rPr>
        <w:br/>
        <w:t xml:space="preserve">Bibliografia: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OSTROGORSKY, Georges,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Histoire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l’État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Byzantin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Paris,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Payot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1977. BERKEY, Jonathan P.,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The Formation of Islam. Religion and Society in the Near east, 600-1800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Cambridge, Cambridge University Press, 2003. LOMBARD, Maurice,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L’Islam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dans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sa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première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gr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andeur (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VIIIe-Xie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siècles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>)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>. Paris, Flammarion, 1971.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br/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Shorter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Encyclopaedia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of Islam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Londres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/ Leiden,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Lusac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/ E. J. Brill, 1961. </w:t>
      </w:r>
    </w:p>
    <w:p w14:paraId="133ABE5C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Parte-se aqui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observação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dois mapas. O primeiro reporta-nos ao aparecimento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cena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Oriental 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fenómeno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militar. O segundo permite evidenciar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constrói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partir de 636 e os sistemas imperiais anteriores. Conjugados fornecem dados que permitem responder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questões em epígrafe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porquê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nesse momento e porquê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depressa. Assinale-se, desde logo, a rapidez do processo expansionista a partir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dez anos entre 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Hijra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>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Hégira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que marca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>em Medina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Yathrib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Madina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An-Nabi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ou Cidade do Profeta, ou, mais simplesmente, Cidade) e a morte do Profeta, com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quase toda (salvo o milenar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Yemen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 sob o mesmo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facto sem precedentes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; quatro anos da morte do Profeta à batalhas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Yarmuk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abre as portas da velha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romana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Qadisiyya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que abre o Eufrates e anunci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 o começo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fim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Mais quatro anos até ao Egipto (640) e dois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Nehavend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(642), que marca a entrada no planalto iraniano.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Tripoli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(644), anuncia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conquista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romana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Persepolis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(648), consolida a Oriente o fim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persa, na sua zona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Ambas as cidades se situam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fora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semita que tinha recebido o embate inicial. A partir daqui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sai da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conforto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linguística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onde as afinidades com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línguas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conquistadores eram evidentes. Em dezasseis anos, a partir da base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estende-se pelos principais portos que controlam a bacia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Oriental, por todo o Crescente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Fértil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pelo Planalto Iraniano.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Alexandre conseguira algo de semelhante. É de resto sobre as suas rotas que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desenrolarão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conquistas,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direcção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à Sogdiana e Bactriana e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Afeganistão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onde se chega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anos 50. A partir daí, como com Alexandre,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perde velocidade a Oriente: Samarcanda, que é a chave para a rota da Seda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alcançada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710, um ano antes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Hispânia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sediados em Damasco, haviam-se voltado para uma geografia mais romana, empreendendo a conquista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Norte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Qairawan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670), atacando sempre, sem sucesso, Constantinopla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alcançando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importante conquista ocidental do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́ depois o 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>Andalus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Belisário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 programa de Justiniano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VI, mas com mais sucesso. Depois disso,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na fase final da dinastia, a onda de choque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vai morrer no centro do Reino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merovíngio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Poitiers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e, no Oriente, nos remotos entrepostos a caminho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Ásia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central. </w:t>
      </w:r>
    </w:p>
    <w:p w14:paraId="14E42510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Os ritmos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propagação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ondas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depois de uma pedra a ter atingido: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concêntricos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progressivamente mais lentos.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rápido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impacto entre os anos 30 e os 40, uma segunda vaga entre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décadas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50 e 70, finalmente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vaga dos primeiros anos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VIII. Quando é passado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Hégira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toda a capacidade expansiva se encontra, por enquanto, amortecida. </w:t>
      </w:r>
    </w:p>
    <w:p w14:paraId="0F6E9A8E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Esta cronologia deverá ser interpretada, porquanto implica uma total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subversão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quadro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́-existente, processada com nunca vista rapidez (no caso de Alexandre,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milénio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anterior, tratara-se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apropriação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unidade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construída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Persa, pelos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Macedónios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; aqui estava em causa um mundo dominado por duas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potências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diferentes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antagónicas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). </w:t>
      </w:r>
    </w:p>
    <w:p w14:paraId="212BE57F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>Uma primeira ordem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 xml:space="preserve"> de razões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prende-se com o aproveitamento de uma oportunidade, conferida pela grande Guerra entre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 e o Romano (Bizantino) que ocupa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três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primeiras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décadas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VII, correspondentes com quase total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precisão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Hégira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sua morte. Isso significa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está a desenvolver na imediata periferia de um mundo que vive uma guerra total, com as principais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Anatólia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do corredor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sírio-palestiniano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serem devastadas pelos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exércitos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confronto.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por acaso esse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o palco preferencial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Essa guerra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fenómeno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novo, visto 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limes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passar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́ muito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II) pelo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Eufrates. Desde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III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triunfam no mundo persa com um programa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assente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militarização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numa aristocracia guerreira. Isso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reflecte-se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consolidação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limes pontuado por cidades fortificadas [slides de Dura-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Europos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Sergiopolis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Palmira] No entanto, agora a guerra radicaliza-se, com a nova dinastia Bizantina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Heráclidas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 origem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 a promover uma dupla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organização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Baixo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substituídas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Thema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onde o governador acumula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civis e militares, transformando-se assim em unidades fiscais armadas; o latim é definitivamente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substituído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grego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língua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administração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que agrava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tensões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sempre latentes, entre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população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cidades helenizadas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 e o velho fundo populacional linguisticamente semita.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Bizâncio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repõe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limes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na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inicial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deixa os dois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exangues e um potencial de descontentamento, sobretudo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gregas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persas que potencia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invasão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75A8A722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Entre o fim da guerra romano persa (828) e a conquista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distam apenas oito anos.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invasão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ganha assim novos contornos oportunistas.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Uma segunda ordem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razões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longínquas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pode ser observada a partir do segundo mapa e prende-se com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graficamente evidentes, entre o novo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os antigos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milenarmente o precedem na mesma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narrativa exposta pelo mapa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aqui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Alexandre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poderia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nos antecedentes que ele vem substituir,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Persa, que é a matriz original dessa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configuração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Neo-Babilónico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Assírio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antes dele. O que é evidente aqui é que a geografia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recobre se encontra associada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configurações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diversas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parcialmente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sobreponíveis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desde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I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Milénio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(a.C.) e que o sucesso repentino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pode ser explicado fora dessa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precedência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Sobretudo porque nelas assoma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combinatória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universos culturais em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forja e que vem recobrir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ténue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verniz unificador, quer dominando-os politica e militarmente quer alimentando-se deles: o velho mundo semita que traz consigo a escrita, o templo e depois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 produto dos dois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 sociedades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escrituralísticas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; o mundo persa que define a uma escala nunca antes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alcançada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paradigma da realeza 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; o mundo grego em que culmina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princípio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organização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cidade e o paradigma racionalista e especulativo dele derivado. Por ter junto todos esses mundos,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Alexandre é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prefiguração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exacta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futuro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num sentido muito mais profundo que 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coincidência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limites. E o papel que 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Iskandar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tem na cultura popular e nas narrativas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 testemunham bem disso.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Roma é menos evidente, pelo menos se pensarmos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configuração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final do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Se a entendermos enquanto possibilidade, perceberemos melhor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centramento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Norte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Hispania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as tentativas falhadas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Gália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 Constantinopla. O Oriente fornecia, aos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- chegados, um conjunto muito mais coerente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permeável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Esse seria o palco do seu sucesso.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arabização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embora mais parcial, viriam dar a esse velho tecido uma nova vida. </w:t>
      </w:r>
    </w:p>
    <w:p w14:paraId="189036AD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2. 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experiência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do divino: novas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dimensões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de velhas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religiões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e 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emergência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dos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monoteísmos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42D0DB98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" w:eastAsia="Times New Roman" w:hAnsi="Times" w:cs="Times New Roman"/>
          <w:b/>
          <w:bCs/>
          <w:lang w:val="en-US" w:eastAsia="pt-PT"/>
        </w:rPr>
        <w:t>Bibliografia</w:t>
      </w:r>
      <w:proofErr w:type="spellEnd"/>
      <w:r w:rsidRPr="00BF724D">
        <w:rPr>
          <w:rFonts w:ascii="Times" w:eastAsia="Times New Roman" w:hAnsi="Times" w:cs="Times New Roman"/>
          <w:b/>
          <w:bCs/>
          <w:lang w:val="en-US" w:eastAsia="pt-PT"/>
        </w:rPr>
        <w:t xml:space="preserve">: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BERKEY, Jonathan P.,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The Formation of Islam. Religion and Society in the Near east, 600-1800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Cambridge, Cambridge University Press, 2003. RODINSON, Maxime,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Maome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>́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Lisboa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Caminho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1992. GRUNEBAUM, Gustave Edmund von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Classical Islam. A History 600-1258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Londres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George Allen and Unwin, 1970. BLACHÈRE,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Régis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Introduction au Coran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>. 2</w:t>
      </w:r>
      <w:r w:rsidRPr="00BF724D">
        <w:rPr>
          <w:rFonts w:ascii="TimesNewRomanPSMT" w:eastAsia="Times New Roman" w:hAnsi="TimesNewRomanPSMT" w:cs="Times New Roman"/>
          <w:position w:val="12"/>
          <w:sz w:val="16"/>
          <w:szCs w:val="16"/>
          <w:lang w:val="en-US" w:eastAsia="pt-PT"/>
        </w:rPr>
        <w:t xml:space="preserve">a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ed. Paris, Besson &amp;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Chantemerle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1959.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618539A6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ritmos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os pilares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reveladores da sua matriz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>- os debates em torno da natureza de Deus (unidade, dualismo, atributos)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efervescência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conceptual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IV-V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complexidades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simplificação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mapa religioso. Proselitismo radical e heresias.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fora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competição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grande debate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contemporâneo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primeiro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: iconismo/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aniconismo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simplicidade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democrática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possibilidade </w:t>
      </w:r>
    </w:p>
    <w:p w14:paraId="4F017091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Se do ponto de vista do estado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deverá ser lido como nova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modelos Imperiais anteriores,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experiência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 e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experiência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inscreve-se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voluntária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conscientemente numa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vivência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milenar. Isso define-o na raiz como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ontologicamente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inscreve-o,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ipso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facto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numa matriz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escrituralística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implicitamente reconhecida nas narrativas sobreviventes da vida do Profeta fundador (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hadith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 assim como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próprio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texto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alcorânico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argumento aqui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o de que é precisamente nessa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reside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expansiva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capaz de substituir outros cultos que o antecedem. </w:t>
      </w:r>
    </w:p>
    <w:p w14:paraId="5F0BFD7B" w14:textId="1C88AA68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O ponto de partida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mais uma vez, o da relativa rapidez com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impõe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número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sempre crescente de seguidores. Embora os conquistadores tenham praticado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tolerância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consagrada canonicamente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Alcorão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para com os restantes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(a “gente do livro”,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ahl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al-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kitab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surgindo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pertença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universo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escrituralístico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a verdadeira matriz diferenciadora, isso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impediu os progressos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voluntária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conquistadas. Durante os primeiros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continuará a ser numericamente inferior, mas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X, no Egipto,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constituía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bastiões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identidade cristã, expressa entre outros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fenómenos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pelo monaquismo, metade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população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se tinha islamizado.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Havera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nesse sentido, que contemplar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apenas aquilo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incorpora dos sistemas religiosos situados a montante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potencial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atractivo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nova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53868E10" w14:textId="4BEB5EAA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 essencial dos preceitos pregados pelo Profeta encontra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sistema dos cinco pilares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núcleo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duro é expresso pela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shahada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que retoma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credo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(“credo in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unum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Deum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”, aqui glosado em “La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”, 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Deus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Deus”), proclamador da unidade do divino. Ao longo dos seus primeiros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resistirá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reflectir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sobre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implicações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filosóficas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deste credo, colocando-se assim à margem dos grandes debates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teológicos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caracterizam os primeiros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cristianismo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estado. Como veremos, ao problema da ortodoxia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substitituira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sempre o da legitimidade. Escapa assim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efervescência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conceptual, largamente grega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filosófica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dos debates em torno da natureza de Deus que haviam caracterizado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IV e V no Cristianismo.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ambiente de confronto que marca esses debates, opondo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melquitas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nestorianos e a monofisitas, os primeiros recobrindo essencialmente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grega e assumindo legitimidade de ortodoxia imperial a partir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Concílios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V, os segundos e terceiros acantonados essencialmente no Egipto e na esfera semita, fará muito pelo sucesso futuro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assim como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desafectação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progressiva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meridionais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No caso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 complexidades imanentes ao conceito de unidade de Deus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resolvidas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figura do “atributo”, provavelmente importado do Zoroastrismo, uma importante fonte, normalmente menorizada face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ao Cristianismo, que servirá ao mesmo tempo de poderoso instrumento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integração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deuses cultuados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isto é, de passagem de um sistema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politeísta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via da simplicidade, expressa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ausência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inicial de densidade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encontra-se mais uma vez inscrita no credo,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obrigação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mesmo tempo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mínima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máxima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qualquer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neófito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: 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Deus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Deus”, complementado por “Muhammad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rasul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” (“Muhammad é o enviado de Deus”). O essencial da nova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fica assim resumido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adesão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incondicional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somado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crença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papel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 enquanto enviado. Nesse sentido,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é, desde a sua origem, uma realidade intensamente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porque se reporta a uma narrativa de acontecimentos, ao mesmo tempo que dependente depende dessa narrativa enquanto discurso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dupla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escrituralística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se inscreve na linha da continuidade, dir-se-ia quase, da genealogia. Os outros “pilares” que fazem parte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apontam todos no sentido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velhas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religiosas na continuidade, assim como da simplicidade. O mais importante,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salat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retoma uma parte do que era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 de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identificáveis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Oriente, mas deslocando-a para o centro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o sagrado. Pelo caminho ficam, ao menos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oficial,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sacrifícios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liturgia. Esta é talvez a maior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o antecedem e que de uma forma ou de outra, se caracterizavam por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específica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densidade ritual. O Cristianismo havia justamente mantido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criando alternativas aos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colégios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sacerdotais, aos templos e à liturgia sacrificial do Mundo Antigo.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partir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I, tendencialmente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rabínico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diaspórico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abrira pela primeira vez o caminho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haveria de melhor exemplificar e codificar: no caso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 vez da liturgia,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(intensificada até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cinco vezes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diárias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em vez de sacerdotes,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imams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que guiam a comunidade durante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 lugar dos templos, a possibilidade de orar em qualquer local, a sala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comunitária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sendo a morada do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Deus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comunhão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caminho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arquitectónica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espaço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mesquita,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longo e implica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sedimentação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 encontro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espaços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cristianismo que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propiciar (cf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. infra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11). Outro valor que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mantém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purificação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parte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necessário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apresentação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recinto sagrado.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abluções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o Cristianismo elevara a um patamar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iniciático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recuperando os rituais dos seguidores do Baptista, convertem-se em preliminar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necessário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 A elas se soma o jejum (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ramadan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ou cinzas), outro “pilar”,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mês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abstinência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purificadora, contraponto da Quaresma. Afinal,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versão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tom bastante menor dos rigorismos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inspiração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dualista, ao mesmo tempo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estóica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ocidental, e hindu, oriental, que os cenobitas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cristãos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vinham praticando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 desde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três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dois pilares remetem para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reforço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comunhão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identidade. 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Hajj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especificamente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porque retoma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ancestral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politeísta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peregrinação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Meca das tribos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assim como os rituais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ambulatórios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executados em torno da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Kaaba,o</w:t>
      </w:r>
      <w:proofErr w:type="spellEnd"/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parece remeter para contextos pelo menos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Neolíticos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articulados com o animismo aí latente. Mas o contexto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peregrinação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santuário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era totalmente familiar na bacia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onde uma boa parte dos cultos antigos assentavam nessa ideia (Delfos,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Éfeso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Jerusalém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 exemplo).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transformará, no entanto, a ideia do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Hajj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veículo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distinção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social 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prestígio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quem o pratica, o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incompatível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intensamente democratizante que o caracteriza desde a origem. Finalmente a esmola legal,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zaqat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contributo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canónico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estava legalmente obrigado. Poderoso mecanismo de solidariedade social, pertence mais à matriz tribal e vincadamente horizontal da sociedade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que qualquer dos outros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cânones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É por isso dificilmente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acomodável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aos estados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tributários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caracterizavam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conquistadas. Se por um lado robustece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 outro, cria um problema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fundo ao desenvolvimento do Estado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abre uma brecha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canónica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por onde se infiltrará o descontentamento, no limite,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insurreição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anti- fiscal, sempre liderado ou acomodado pelos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líderes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religiosos da comunidade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local. </w:t>
      </w:r>
    </w:p>
    <w:p w14:paraId="0CEC6025" w14:textId="1F9B6F1C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os cultos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́-existentes dominantes na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– Cristianismo, Zoroastrismo,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– é, pois, complexa. Por um lado,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parece haver nada de intrinsecamente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figura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próprio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Muhammad,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esteja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 alguma forma representado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anteriores. Por outro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 e dos seus sucessores imediatos, tende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nos ingredientes,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combinatória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 apresenta como original.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exemplos anteriores somaria mais duas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manifestações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originalidade, as duas essenciais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Em primeiro lugar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aniconismo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ontológico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 que segue de perto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se tornará mais militante precisamente quando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iconoclastia está prestes a resolver-se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Bizâncio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favor do culto das imagens, depois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dominado pela dinastia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iconoclase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radical.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opção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definitiva,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consequências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imensas no destino da arte produzida sob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acabará por determinar as principais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características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arte. Em segundo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lugar, a intensa democraticidade, populismo, no limite, do modelo religioso do jovem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simplificação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representa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anteriores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povo, que todos podem seguir, sem excessos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complicações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rituais ou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especulação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doutrinária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No interior do complexo mapa religioso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VII, entre as disputas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campo ortodoxo internas ao Cristianismo,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projectos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religiosos falhados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centúrias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anteriores (o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notório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Maniqueísmo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a crise do Zoroastrismo, demasiado dependente do seu papel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Estado, e a crescente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abstenção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soluções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proselitistas,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surge como uma proposta tentadoramente simples. </w:t>
      </w:r>
    </w:p>
    <w:p w14:paraId="633119E5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3. Um caso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periférico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destinado a um grande futuro: 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Arábia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da </w:t>
      </w:r>
      <w:proofErr w:type="spellStart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>jahiliyya</w:t>
      </w:r>
      <w:proofErr w:type="spellEnd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 xml:space="preserve">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Islão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47209BB6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mapa da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Arábia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</w:p>
    <w:p w14:paraId="490270C1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" w:eastAsia="Times New Roman" w:hAnsi="Times" w:cs="Times New Roman"/>
          <w:b/>
          <w:bCs/>
          <w:lang w:val="en-US" w:eastAsia="pt-PT"/>
        </w:rPr>
        <w:t>Bibliografia</w:t>
      </w:r>
      <w:proofErr w:type="spellEnd"/>
      <w:r w:rsidRPr="00BF724D">
        <w:rPr>
          <w:rFonts w:ascii="Times" w:eastAsia="Times New Roman" w:hAnsi="Times" w:cs="Times New Roman"/>
          <w:b/>
          <w:bCs/>
          <w:lang w:val="en-US" w:eastAsia="pt-PT"/>
        </w:rPr>
        <w:t xml:space="preserve">: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BRICE, William C.,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An Historical Atlas of Islam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Leiden, 1981. RODINSON,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Maxime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Maome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>́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. Lisboa, Caminho, 1992. LEWIS, Bernard,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Os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Árabes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na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 Lisboa, ed. Estampa, 1982.</w:t>
      </w:r>
      <w:r w:rsidRPr="00BF724D">
        <w:rPr>
          <w:rFonts w:ascii="TimesNewRomanPSMT" w:eastAsia="Times New Roman" w:hAnsi="TimesNewRomanPSMT" w:cs="Times New Roman"/>
          <w:lang w:eastAsia="pt-PT"/>
        </w:rPr>
        <w:br/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7DAC7B92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a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um lugar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improvável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uma nova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?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uma periferia intensamente conectada (rotas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caravaneiras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comércio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Índico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Feliz –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Hadramawt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)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-os dois modelos: estados, cidades, agricultura irrigada (Nabateus,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Palmirenses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Iemenitas) escrita. A crise da agricultura irrigada?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os dois modelos: caravanas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beduínos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Uma matriz oasiana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secundária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 oralidade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antecedentes religiosos: reino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Etiópia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reino judaico iemenita.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Profeta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síntese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oásis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caravanas, oralidade,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olha para o corredor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-palestiniano) </w:t>
      </w:r>
    </w:p>
    <w:p w14:paraId="35BE4215" w14:textId="2902465C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Situada na periferia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grandes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civilizações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Crescente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Fértil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embora a elas ligada por rotas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caravaneiras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activas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parecia um lugar ideal para o nascimento de um grande movimento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renovação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religiosa, muito menos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mãe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plausível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um novo e imenso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De facto,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experiências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anteriores tinham ocorrido claramente dentro dos limites do universo urbano do Egipto do corredor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Sirio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-Palestiniano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ou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triunfo dessa periferia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deve pois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ser lido, como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bloqueios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afectavam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centro, tanto como da vitalidade das periferias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desérticas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mundo habitado. Nas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centúrias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seguintes, a vitalidade do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haveria de ser constantemente alimentada por essas (outras) periferias: turcos, berberes. </w:t>
      </w:r>
    </w:p>
    <w:p w14:paraId="5EF9F007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periferia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era no entanto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privilegiada por se encontrar situada nas rotas que articulavam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comércio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Índico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conduzindo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do Egipto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Iemen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por via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Hidjaz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(rota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do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Hajj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e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Otomano moribundo transformará na sua principal via de caminho de ferro). Daí,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Iemen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saía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incenso que se queimava nos templos e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epitomizava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todas as especiarias chegadas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Índico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seu ponto de origem,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Hadramawt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haveria de receber o nome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Feliz, era com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Iemen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epicentro de um dos dois modelos que dominavam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ocupação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território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Aí, havia cidades antigas, escrita, reinos organizados de base urbana, tudo sustentado por uma agricultura capaz de controlar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águas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chuva, canalizá-las,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̂-las em barragens, escavar socalcos nas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montanhas. Embora em contextos espaciais muito mais setentrionais e menos montanhosos os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reinos Nabateu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Palmirense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ambos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apesar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helenistico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-persas do ponto de vista da cultura, haviam pertencido a este mesmo modelo. Representam por isso mesmo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florações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primevas do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mais tarde a cultura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koine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sobretudo no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Nada menos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imagem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beduíno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deserto.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era esse o outro modelo dominante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Península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Um mundo feito de caravanas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beduínos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ligando cidades dominadas pela matriz oasiana, onde elites comerciais detinham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rédeas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comércio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longa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distância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Aí imperava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dromedário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(depois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substituíra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burro enquanto navio do deserto) 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perpetuação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memória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eram asseguradas por uma poderosa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oral. Em comum, entre as duas matrizes,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omnipresença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tribo,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articulação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social preferencial, e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técnicas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irrigação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asabiyya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coesão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tribal ou familiar)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os dois elementos fundamentais. </w:t>
      </w:r>
    </w:p>
    <w:p w14:paraId="43371AE3" w14:textId="2B8D946E" w:rsidR="00B32E86" w:rsidRDefault="00BF724D" w:rsidP="006D5717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Apesar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periférico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espaço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estava arredado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influência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das novas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religiosas. Sem nunca ter conseguido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implantação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segura, o Cristianismo espreitava a partir do vizinho reino Monofisita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Etiópia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 todo o lado desde antes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Diáspora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ocupara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importante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Iemen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conseguindo mesmo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adesão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dos reinos durante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VI.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importância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decisiva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anunciava-se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desde antes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Muhammad e, até certo ponto, explica-a. Entre estas duas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solidamente ligadas aos mundos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prestigiosos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cabera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ao movimento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/religioso iniciado pelo Profeta fazer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síntese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síntese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feita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oásis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caravanas, oralidade,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monoteísmo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judaísmo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olha para o corredor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Sirio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-Palestiniano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para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experiências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Cristianismo aí praticado. A ela chamamos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Pelo menos 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inicial. </w:t>
      </w:r>
    </w:p>
    <w:p w14:paraId="7183FEC0" w14:textId="77777777" w:rsidR="00B32E86" w:rsidRDefault="00B32E86" w:rsidP="006D5717">
      <w:pPr>
        <w:rPr>
          <w:rFonts w:ascii="TimesNewRomanPSMT" w:eastAsia="Times New Roman" w:hAnsi="TimesNewRomanPSMT" w:cs="Times New Roman"/>
          <w:lang w:eastAsia="pt-PT"/>
        </w:rPr>
      </w:pPr>
      <w:r>
        <w:rPr>
          <w:rFonts w:ascii="TimesNewRomanPSMT" w:eastAsia="Times New Roman" w:hAnsi="TimesNewRomanPSMT" w:cs="Times New Roman"/>
          <w:lang w:eastAsia="pt-PT"/>
        </w:rPr>
        <w:br w:type="page"/>
      </w:r>
    </w:p>
    <w:p w14:paraId="42B4C244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</w:p>
    <w:p w14:paraId="4AB68FF0" w14:textId="70C8AA81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II- Construindo 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Islão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(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sécs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>. VII-VIII)</w:t>
      </w:r>
      <w:r w:rsidRPr="00BF724D">
        <w:rPr>
          <w:rFonts w:ascii="Times" w:eastAsia="Times New Roman" w:hAnsi="Times" w:cs="Times New Roman"/>
          <w:b/>
          <w:bCs/>
          <w:lang w:eastAsia="pt-PT"/>
        </w:rPr>
        <w:br/>
        <w:t xml:space="preserve">4. A indissociabilidade do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político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e do religioso e 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construção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império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5E45C05E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Bibliografia: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ARKOUN, Muhammad,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L'Islam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morale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et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politique.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[Paris],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Desclée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de Brouwer, 1986. AL-AZMEH, Aziz,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Muslim Kingship. Power and the Sacred in Muslim, Christian and Pagan Polities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London, I.B. Tauris, 2001. DAKHLIA, Jocelyn,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Le divan </w:t>
      </w:r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des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rois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. Le politique et le religieux dans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l’islam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Paris,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Aubier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1998. AL-JABRI, Mohammed Abed, </w:t>
      </w:r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La raison politique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en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>islam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.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Hier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et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aujourd’hui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Paris, 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Découverte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2007. LEWIS, Bernard,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A Linguagem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Política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do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Lisboa, Ed. Colibri, 2001. </w:t>
      </w:r>
    </w:p>
    <w:p w14:paraId="34F1B648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diagrama da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família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do Profeta</w:t>
      </w:r>
      <w:r w:rsidRPr="00BF724D">
        <w:rPr>
          <w:rFonts w:ascii="Times" w:eastAsia="Times New Roman" w:hAnsi="Times" w:cs="Times New Roman"/>
          <w:b/>
          <w:bCs/>
          <w:lang w:eastAsia="pt-PT"/>
        </w:rPr>
        <w:br/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>:</w:t>
      </w:r>
      <w:r w:rsidRPr="00BF724D">
        <w:rPr>
          <w:rFonts w:ascii="Times" w:eastAsia="Times New Roman" w:hAnsi="Times" w:cs="Times New Roman"/>
          <w:b/>
          <w:bCs/>
          <w:lang w:eastAsia="pt-PT"/>
        </w:rPr>
        <w:br/>
        <w:t xml:space="preserve">-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um problema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?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grande originalidade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natureza religiosa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(contraste com o Cristianismo/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romano) </w:t>
      </w:r>
    </w:p>
    <w:p w14:paraId="37EAC3B8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nem religioso, apenas uma unidade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indissolúvel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centralidade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alcorânica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fonte de legitimidade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vulgata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fixação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textual: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fabricação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língua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génese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modelo cultural.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hadith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problema central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Profeta. A matriz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genealógica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/democraticidade do governo. Legitimistas, legitimistas radicais,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caréjidas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ou o Profeta no centro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-uma nova aristocracia: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chorfa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23AAD514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Nada é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anacrónico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obstaculizante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compreender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tentação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lhe aplicar, sem filtros,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distinção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foi forjada na sociedade ocidental, separando de uma forma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nítida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religioso.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distinção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mesmo na Cristandade, é tardia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foi completamente adquirida com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revoluções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liberais, estando no centro do debate durante todo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medieval.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doutrina do dualismo dos poderes, o que estava em causa, penso, era o peso relativo do modelo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carismático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exercício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poder, que, de uma forma ou de outra implica sempre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estreita com a sacralidade. No interior das sociedades que se islamizaram, tal debate nunca chegou a ter lugar, pelo que o modelo triunfante é o das realezas sacralizadas de modelo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carismático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caracterizavam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oriental 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Oriente à data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invasão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a Bizantina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Sobre elas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intervir certas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características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específicas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organização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social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se prendem com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legitimidade no interior do modelo da chefatura (cf.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infra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10) e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ditarão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modelo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mundo islamizado até aos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XX. </w:t>
      </w:r>
    </w:p>
    <w:p w14:paraId="14111989" w14:textId="02954735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indistinção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faz com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possa pensar autonomamente os dois campos, ou sequer defini-los numa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essência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indissociável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remonta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condições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e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entidade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perspectiva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comparada como processo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Cristianismo é, mais uma vez,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fértil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De facto, enquanto aquele se difunde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estrutura imperial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́-existente, colonizando- a e acabando por se apropriar da estrutura do Estado romano, num processo lento que se inicia com Constantino,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se consumar completamente com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>Heráclio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vésperas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conquista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 modo que se pode dizer que, a partir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IV, o Cristianismo deixará de ser uma coisa de judeus e gregos, para se confundir totalmente com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difusão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encontra-se indissociavelmente ligada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́- existindo de nenhum modo à conquista militar. E embora apoiando-se em modelos anteriores, é sobre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se forma o Estado, a comunidade ou 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existe fora dele. Aqui, a proximidade ao modelo persa, e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interdependência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Estado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renovação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mazdeista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Zoroastrismo proposta pelos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é seguramente maior. Desta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indistinção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decorrem duas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características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maiores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especificamente suas. A primeira prende-se com a centralidade do texto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alcorânico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fonte de legitimidade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 direito. Nunca tendo chegado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adoptar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codificações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que os imperadores romanos do Baixo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haviam presidido,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dependerá em tudo do texto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Alcorânico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assim como do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Hadith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quadro legal.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abstenção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tem lugar em nenhum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cultura material, nem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extensível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modelo administrativo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deve ser relacionada com o peso dessa matriz fundadora. Daí que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fixação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texto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alcorânico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acompanhe de perto o processo expansivo, tendo ocorrido durante o governo do terceiro califa,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Uthman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quando as mulheres do Profeta,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fiéis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transmissoras orais das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suras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até aí nunca escritas, ainda estavam vivas. O facto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enorme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relevância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ponto de vista cultural, visto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fixação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texto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Vulgata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ter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contribuído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quadro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linguístico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ou menos permanente que serviu de matriz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clássico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língua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doravante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apenas, por isso,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indissociável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religiosa, mas ambas se encontram na esfera do cultural. </w:t>
      </w:r>
    </w:p>
    <w:p w14:paraId="36972F99" w14:textId="33D95BF3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segunda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consequência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indistinção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prende-se com o modelo de governo da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Numa comunidade fundada pelo Profeta,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essencial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questionar o modelo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liderança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́-de ser necessariamente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teocrático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mas o de definir o modo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Este oscilará entre uma legitimidade de modelo estritamente religioso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aceitação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princípios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assentam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sobrevivência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conceito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e tribo e mesmo, no limite,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caracterizava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conquistados. A primeira via estando condenada a um certo abandono – a tentativa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democrática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Caréjidas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impor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princípio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meritocrática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tendo colhido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adesão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maioria da comunidade – a legitimidade acabará por ficar contida dentro dos limites definidos pelo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de Muhammad. Isso tem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interna de colocar Muhammad no centro do processo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acomodar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hábitos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organização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horizontal. Os descendentes dos membros desse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surgindo, sobretudo a partir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meio, como uma aristocracia Xarifina, de onde saem, até aos dias de hoje (Marrocos,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Jordânia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Saudita), muitas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soluções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Um grupo, de destino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minoritário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mas nem por isso menor dentro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tentará restringir esse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princípio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sucessório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descendência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directa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dissidência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Álidas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(cf.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11 e 14)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é, pois,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acontecia no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mas familiar e de modelo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específica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imanência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sistema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fará dela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observância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alternativa, 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no entanto,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caso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princípio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cedo quanto o terceiro califa o modelo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oriental passará a estar entre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opções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direcção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109DD91" w14:textId="49E7DD8B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5. 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formação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da </w:t>
      </w:r>
      <w:proofErr w:type="spellStart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>Umma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, dos primeiros califas aos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omíadas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5285ED79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lastRenderedPageBreak/>
        <w:t xml:space="preserve">Bibliografia: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CRONE,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Patricia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Medieval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Islamic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Political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Thought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>Edinburgh, Edinburgh U.P., 2004. CHOUEIRI, Youssef M. (</w:t>
      </w:r>
      <w:proofErr w:type="gramStart"/>
      <w:r w:rsidRPr="00BF724D">
        <w:rPr>
          <w:rFonts w:ascii="TimesNewRomanPSMT" w:eastAsia="Times New Roman" w:hAnsi="TimesNewRomanPSMT" w:cs="Times New Roman"/>
          <w:lang w:val="en-US" w:eastAsia="pt-PT"/>
        </w:rPr>
        <w:t>ed.)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A</w:t>
      </w:r>
      <w:proofErr w:type="gram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Companion to the History of the Middle East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Oxford,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Blackwell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2005. ALMAGRO GORBEA,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Antonio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El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Palacio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Omeya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de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Amman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. 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arquitectura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Madrid, Instituto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Hispano-Árabe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Cultura, 1983.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mapa da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Síria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;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power-point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Síria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pre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>́-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islâmica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;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power-point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arte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omíada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</w:p>
    <w:p w14:paraId="76F42713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>:</w:t>
      </w:r>
      <w:r w:rsidRPr="00BF724D">
        <w:rPr>
          <w:rFonts w:ascii="Times" w:eastAsia="Times New Roman" w:hAnsi="Times" w:cs="Times New Roman"/>
          <w:b/>
          <w:bCs/>
          <w:lang w:eastAsia="pt-PT"/>
        </w:rPr>
        <w:br/>
        <w:t xml:space="preserve">-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imediata e os califas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rashidun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derrota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Álidas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acabará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neo-bizantino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(novidades e ambiguidades: a escolha da capitalidade,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localização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)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 (arte e propaganda: as mesquitas)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Estado: fiscalidade, sistema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monetário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Malik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</w:p>
    <w:p w14:paraId="33516B71" w14:textId="34A94CC0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partir do momento em que Muhammad forma a primeira comunidade em Medina, podemos dizer que se inicia o estado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que esse estado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politicamente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fazer-se quando em 632 se coloca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próprio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conceito de Califa (sucessor) mostra como esse momento é vital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todos os momentos seguintes sendo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análogos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podendo por isso ser lidos como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perpetuação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mesma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continuidade. Quase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contudo,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ensaiadas durante o governo dos quatro sucessores imediatos do profeta,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únicos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foram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efectivamente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seus companheiros e a quem, dentro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profética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está reservado o papel que se encontra associado, no Cristianismo, aos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Apóstolos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estatuto reconhecido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qualificativo de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rashidun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Iluminados. De alguma fora, todas elas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dominadas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discussão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torno do modelo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feito no interior da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Comunidade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sobretudo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família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Profeta, em que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organização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tribal dominante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patri-linear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mas em que o poder das fratrias se encontra largamente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contrabalançado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pela rivalidade entre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mulheres sobreviventes, cada uma defendendo um candidato. Por isso, embora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consanguíneos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Profeta, os dois primeiros califas (Abu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Bakr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‘Umar)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ele ligados pelo casamento, enquanto o terceiro e o quarto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Uthman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‘Ali)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mesmo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deles, de resto seu primo direito e parente masculino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Esse parentesco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ainda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reforçado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casamento com a filha do Profeta,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Fátima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daí saindo toda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descendência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Muhammad.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observação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árvore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genealógica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anexa evidencia a centralidade da figura do Profeta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 uma via que transcende largamente o impacto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que está em causa é, mais do que isso,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centralidade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 que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família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dum ponto de vista real ou suposto, ocupa papel exclusivo durante quase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milénio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Tanto assim que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ensaiadas até aos Otomanos,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necessitarão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legitimidade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carismática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lhes é emprestada por um califa dessa linha, primeiro do ramo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depois do ramo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caso das dinastias xarifinas, a Ocidente ou no Oriente, é precisamente o mesmo. Por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razão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todos os acontecimentos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durante os primeiros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ser narrados do ponto de vista de lutas entre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facções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família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síntese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ainda quando envolvem um quadro explicativo muito mais alargado. </w:t>
      </w:r>
    </w:p>
    <w:p w14:paraId="1148179B" w14:textId="5DF23991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sobre os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Álidas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 decisivo ano de 661, é pois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simultâneo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fim da unidade religiosa dentro da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(cf.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infra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14) e o sinal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estabilização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princípio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num quadro familiar alargado.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Marca, por outro lado,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mudança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polaridade no interior do jovem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porque o califado passa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Mu’awiya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governava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partir de Damasco, o eixo Medina/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Kufa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isto é, o eixo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arábico-mesopotâmico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vai perder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favor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- Palestiniana. Com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centro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sai pela primeira vez de forma assumida da sua esfera Natal deslocando-se para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territórios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conquistados.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Mudança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decisiva no sentido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consolidação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Dela decorria igualmente a inevitabilidade de um duplo processo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aculturação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arabização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territórios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helenização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Neste primeiro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entre os dois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derrotados, é o Romano que os califas tomam como modelo dominante. O mundo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por isso o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neo-Bizantino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Esta nova Roma de cameleiros recentes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faz no entanto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sem ambiguidades.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própria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escolha da capitalidade traduz isso mesmo. Ao evitar Antioquia, demasiado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limes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, e todas as antigas cidades da costa,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escolhem Damasco, para Oriente das montanhas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Anti-Líbano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por isso muito perto da estepe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desértica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articula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solução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continuidade,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Arábia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selecção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locais para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construindo desde o final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 até meados do VIII revela-se ainda mais conservadora das suas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deserto.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Sítios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Qasr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Hayr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Gharbi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mantêm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tudo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fortificações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romanas do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limes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, ao mesmo tempo que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arquitectura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acusa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influências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tardo-helenísticas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persas.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jardim no deserto, que estes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retomam, assim como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hábito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caçada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real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leão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retomam temas das antigas realezas persas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5EEB8A29" w14:textId="3AF03F00" w:rsidR="00B32E86" w:rsidRDefault="00BF724D" w:rsidP="006D5717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 outro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pólo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este mais vital,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centra- se no ambicioso programa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mesquitas,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inventa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género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o transforma em principal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veículo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comunicação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simbólica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o califa e os crentes. O primeiro ensaio destinado a dotar a nova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monumento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emblemático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pudesse rivalizar com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prestígio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Arte Imperial, da Igreja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situa-se precisamente na cidade,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Jerusalém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chamará A Santa (al-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Quds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onde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Heráclio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celebrara em 630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guerra contra os persas. Trata-se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Cúpula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Rochedo, mandada erigir na esplanada do Templo, local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Ascensão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Profeta, pelo califa que funda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efectivamente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do ponto de vista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ideológico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administrativo.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ainda uma mesquita, ou seja,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oratório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qual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 facto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construído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Damasco no local do templo antigo 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Basilica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S.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João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Baptista, comprada aos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cristãos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recuperação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temenos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do templo,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utilização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estilo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arquitectónico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decorativo bizantino,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manutenção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culto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relíquias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Baptista no interior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oratório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sumptuosidade de efeitos que se procura, competindo com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magnificências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Constantinopla,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deixam quaisquer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dúvidas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acerca do modelo inspirador, assim como da natureza grega deste primeiro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que é tanto mais importante 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esta a matriz para todas as mesquitas a construir. Nelas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aglutinadas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cabiam à Igreja e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Fórum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mesma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inclinação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bizantina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que respeita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administração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décadas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VII, este passará a ser administrado segundo modelos imitados do secular governo romano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dividido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entregues a governadores que, como nos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Themas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bizantinos acumulam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civis e militares. É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orgânica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presidirá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fases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final do VII e no VIII.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cunhagem da moeda,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símbolo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exercício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poder soberano e emblema da realeza romana e persa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 marco decisivo pelo papel que o sistema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monetário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irá ter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comércio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mundial durante os muitos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seguintes.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opção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bimetalismo (sistema ouro/prata) funde os dois modelos anteriores e permite integrar uma vasta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geográfica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transcende os limites do novo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Os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lastRenderedPageBreak/>
        <w:t>Denarius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bizantinos teriam agora um competidor no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Dinar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de ouro e no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Dirham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de prata. Aí figurava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efígie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califa, como nas moedas romanas. Por enquanto,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aniconismo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fundamental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ainda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chegara a impor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substuição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figuração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imperial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evocação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textual/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caligráfica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2DADAB4F" w14:textId="77777777" w:rsidR="00B32E86" w:rsidRDefault="00B32E86" w:rsidP="006D5717">
      <w:pPr>
        <w:rPr>
          <w:rFonts w:ascii="TimesNewRomanPSMT" w:eastAsia="Times New Roman" w:hAnsi="TimesNewRomanPSMT" w:cs="Times New Roman"/>
          <w:lang w:eastAsia="pt-PT"/>
        </w:rPr>
      </w:pPr>
      <w:r>
        <w:rPr>
          <w:rFonts w:ascii="TimesNewRomanPSMT" w:eastAsia="Times New Roman" w:hAnsi="TimesNewRomanPSMT" w:cs="Times New Roman"/>
          <w:lang w:eastAsia="pt-PT"/>
        </w:rPr>
        <w:br w:type="page"/>
      </w:r>
    </w:p>
    <w:p w14:paraId="5B82908C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</w:p>
    <w:p w14:paraId="2583333D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III- </w:t>
      </w:r>
      <w:r w:rsidRPr="00BF724D">
        <w:rPr>
          <w:rFonts w:ascii="TimesNewRomanPS" w:eastAsia="Times New Roman" w:hAnsi="TimesNewRomanPS" w:cs="Times New Roman"/>
          <w:b/>
          <w:bCs/>
          <w:lang w:eastAsia="pt-PT"/>
        </w:rPr>
        <w:t>O “</w:t>
      </w:r>
      <w:proofErr w:type="spellStart"/>
      <w:r w:rsidRPr="00BF724D">
        <w:rPr>
          <w:rFonts w:ascii="TimesNewRomanPS" w:eastAsia="Times New Roman" w:hAnsi="TimesNewRomanPS" w:cs="Times New Roman"/>
          <w:b/>
          <w:bCs/>
          <w:lang w:eastAsia="pt-PT"/>
        </w:rPr>
        <w:t>Islão</w:t>
      </w:r>
      <w:proofErr w:type="spellEnd"/>
      <w:r w:rsidRPr="00BF724D">
        <w:rPr>
          <w:rFonts w:ascii="TimesNewRomanPS" w:eastAsia="Times New Roman" w:hAnsi="TimesNewRomanPS" w:cs="Times New Roman"/>
          <w:b/>
          <w:bCs/>
          <w:lang w:eastAsia="pt-PT"/>
        </w:rPr>
        <w:t xml:space="preserve"> na sua primeira grandeza” (</w:t>
      </w:r>
      <w:proofErr w:type="spellStart"/>
      <w:r w:rsidRPr="00BF724D">
        <w:rPr>
          <w:rFonts w:ascii="TimesNewRomanPS" w:eastAsia="Times New Roman" w:hAnsi="TimesNewRomanPS" w:cs="Times New Roman"/>
          <w:b/>
          <w:bCs/>
          <w:lang w:eastAsia="pt-PT"/>
        </w:rPr>
        <w:t>sécs</w:t>
      </w:r>
      <w:proofErr w:type="spellEnd"/>
      <w:r w:rsidRPr="00BF724D">
        <w:rPr>
          <w:rFonts w:ascii="TimesNewRomanPS" w:eastAsia="Times New Roman" w:hAnsi="TimesNewRomanPS" w:cs="Times New Roman"/>
          <w:b/>
          <w:bCs/>
          <w:lang w:eastAsia="pt-PT"/>
        </w:rPr>
        <w:t>. VIII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-X) </w:t>
      </w:r>
    </w:p>
    <w:p w14:paraId="35516169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Entre este culminar da dinastia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subsequente, dominado pelos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desenrola-se aquele que é simultaneamente o momento de quase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 que toca à identidade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 a hora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isto é, o lapso de tempo em que o mundo articulado pelo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cuja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cessa de acontecer, concentra em si tanto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acumulação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capital e de recursos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inigualável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um potencial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inovação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antecede e de certa forma prefigura e influencia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revolução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científica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tecnológica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 Europa conhecerá na 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tardia e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moderno. É essa primazia que justificará em grande medida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expressão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K.Chaudhuri</w:t>
      </w:r>
      <w:proofErr w:type="spellEnd"/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, “Asia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before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Europe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”. </w:t>
      </w:r>
    </w:p>
    <w:p w14:paraId="27C1FFD1" w14:textId="5F2AE8A6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Medieval HIM 6.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último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grande florescimento urbano no Crescente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Fértil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: novas cidades, velhas centralidades. </w:t>
      </w:r>
    </w:p>
    <w:p w14:paraId="34D3C46F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Bibliografia: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LOMBARD, Maurice,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L’Islam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dans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sa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première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grandeur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(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VIIIe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-Xie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siècles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>)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Paris, Flammarion, 1971. LOMBARD, Maurice,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Espaces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et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réseaux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du haut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moyen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âge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Paris, Mouton, 1972.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Espaces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et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Réseaux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en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Mediterranée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VI-XVI</w:t>
      </w:r>
      <w:r w:rsidRPr="00BF724D">
        <w:rPr>
          <w:rFonts w:ascii="Times" w:eastAsia="Times New Roman" w:hAnsi="Times" w:cs="Times New Roman"/>
          <w:i/>
          <w:iCs/>
          <w:position w:val="12"/>
          <w:sz w:val="16"/>
          <w:szCs w:val="16"/>
          <w:lang w:val="en-US" w:eastAsia="pt-PT"/>
        </w:rPr>
        <w:t>e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vol. I,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La configuration des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réseaux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vol. II,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La formation des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réseaux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Dir. De Damien Coulon, Christophe Picard, Dominique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Valérian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Paris,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Bouchène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2007-2010. </w:t>
      </w:r>
    </w:p>
    <w:p w14:paraId="3B23B4CF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reconstrução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da planta de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Baghdad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; vistas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aéreas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de Samarra; 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comércio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mundial no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período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abássida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br/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>:</w:t>
      </w:r>
      <w:r w:rsidRPr="00BF724D">
        <w:rPr>
          <w:rFonts w:ascii="Times" w:eastAsia="Times New Roman" w:hAnsi="Times" w:cs="Times New Roman"/>
          <w:b/>
          <w:bCs/>
          <w:lang w:eastAsia="pt-PT"/>
        </w:rPr>
        <w:br/>
        <w:t xml:space="preserve">-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o ponto de vista de M.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Lombard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contra-Pirenne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 </w:t>
      </w:r>
    </w:p>
    <w:p w14:paraId="63DC44E9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primícias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recuperação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económica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VIII. Analogia na cronologia de retoma entre o Ocidente e o Oriente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destino dos centros urbanos antigos: sortes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variáveis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(Cidades Desertas,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Aphameia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Ctesiphon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Babilónia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/Antioquia, Damasco). Constantinopla, Alexandria. </w:t>
      </w:r>
    </w:p>
    <w:p w14:paraId="144C8513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novas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cidades: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Baghdad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Samarra, Cairo. A ideia de cidade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áulica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neo-helenismo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ou nova matriz?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mudanças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capitalidade,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novos centros velhas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um urbanismo a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nunca vista. Contraste com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indícios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urbanos da cristandade latina. </w:t>
      </w:r>
    </w:p>
    <w:p w14:paraId="34067816" w14:textId="674F49CB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própria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ideia de que o nascimento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estas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diversidade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nesta cronologia, implica pensar numa clara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mudança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ciclo, da grande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VII, para uma economia de novo em crescimento, a partir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VIII, II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Hégira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muito acentuado. Isso quer dizer que 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oriental e o ocidental,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têm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partir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daqui, um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bloco relativamente organizado com o qual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mantêm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espaço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bélicas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comunicantes e que, em cronologias diferentes, entre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 e X, o crescimento desse bloco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decisivo para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revitalização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Se admitirmos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hipótese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poderemos pensar na plausibilidade da tese de H.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Pirenne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que Carlos Magno sem Muhammad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seria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condição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lhe invertermos o argumento. Se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ajuda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continentalizar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Europa latina, numa primeira fase,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inequívoco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 ajudará a capitalizar numa segunda. Disto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se apercebeu M.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Lombard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cuja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percepção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uma escala macro, feita de grandes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cronias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 vastas redes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negócio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inspiração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braudeliana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nos serve aqui de guia.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>Dentro deste mesmo esquema, a analogia na cronologia da retoma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VIII)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deve aqui mascarar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duração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consistência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profundidade dessa retoma, muito superior no Oriente, quer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quer grego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aqui esquecer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Bizantino, isto é o Rum, sofre pelo mesmo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espectacular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renascimento, que a dinastia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macedónica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irá consolidar)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àquele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experimentado na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Latinitas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presença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pela primeira vez, de uma estrutura capaz de articular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espaços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diversos é decerto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razão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plausível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explicar o lugar que 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 sobretudo as suas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emblemáticas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ocupa no centro daquilo a que, creio,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chamar com propriedade a Primeira Economia Mundo, antecedendo em meio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milénio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proposta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décadas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feita por I.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Wallerstein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para iniciar o processo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mundialização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1D77876" w14:textId="076EDDEE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recuperação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deixa intacto o mapa do tecido urbano que durara, nas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conquistadas pelo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desde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Helenístico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que, por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então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era velho de pelo menos mil anos. De facto, essas cidades conhecem sortes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variáveis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algumas resistindo bem à crise, outras anemizando-se, outras desaparecendo. Neste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caso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rede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secundária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povoados do norte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as Cidades Desertas, a grande urbe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Aphameia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 vale do Orontes, ou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Ctesiphon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capital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Babilónia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Muitas outras,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resistem, como Alexandria,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mantém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uma importante funcionalidade como sede da frota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egípcia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Antioquia ou Damasco,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exaltada na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capitalidade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média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preferência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maior sintoma do dinamismo urbano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é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entanto representado pela rede de urbanismo novo aparecido a partir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num movimento que se estende até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X. A grande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onde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arquitectura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adobe,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rápida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efémera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favorece o aparecimento de gigantescos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empórios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claramente conotados como o programa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ideológico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a centralidade comercial que a nova dinastia vem consagrar. Tal é o caso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Bagdad, nos meados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 e de Samarra, cidade que ocupa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kms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nas margens do Tigre, na quarta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década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IX. Estas cidades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têm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algumas coisas em comum. Em primeiro lugar porque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todas cidades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áulicas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correspondendo ao modelo das velhas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helenísticas</w:t>
      </w:r>
      <w:proofErr w:type="spellEnd"/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agora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directamente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associadas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glorificação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poder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que sobreviveu da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arquitectura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materialmente ou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textos, confirma isso mesmo. A segunda é a de que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está usualmente associada a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mudança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capitalidade, como acontece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Kufa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Bagdad ou desta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Samarra e de volta a Bagdad.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deixar de sublinhar, assim,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alguma coisa de enganoso nesse frenesi: na verdade, em termos funcionais pode acontecer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cidades sejam apenas uma, com ajustamentos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sítio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mais tardia dessas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Cairo, partilha das duas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características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anteriormente enunciadas, 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desmultiplicação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mesmo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dizer das duas mais importantes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ocidentais.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Qairawan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irá,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distância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duplicar Cartago.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Volubilis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Este urbanismo que ao menos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eleva a uma escala nunca vista, contrasta vivamente com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tímiod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renascimento ocidental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carolíngio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É ele que explica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reflecte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central num sistema de rotas que se estende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Atlântico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à China, tendo como elementos estruturantes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Índico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ocupa. </w:t>
      </w:r>
    </w:p>
    <w:p w14:paraId="223541C0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7. A </w:t>
      </w:r>
      <w:proofErr w:type="spellStart"/>
      <w:r w:rsidRPr="00BF724D">
        <w:rPr>
          <w:rFonts w:ascii="TimesNewRomanPS" w:eastAsia="Times New Roman" w:hAnsi="TimesNewRomanPS" w:cs="Times New Roman"/>
          <w:b/>
          <w:bCs/>
          <w:i/>
          <w:iCs/>
          <w:lang w:eastAsia="pt-PT"/>
        </w:rPr>
        <w:t>shi’a</w:t>
      </w:r>
      <w:proofErr w:type="spellEnd"/>
      <w:r w:rsidRPr="00BF724D">
        <w:rPr>
          <w:rFonts w:ascii="TimesNewRomanPS" w:eastAsia="Times New Roman" w:hAnsi="TimesNewRomanPS" w:cs="Times New Roman"/>
          <w:b/>
          <w:bCs/>
          <w:i/>
          <w:iCs/>
          <w:lang w:eastAsia="pt-PT"/>
        </w:rPr>
        <w:t xml:space="preserve">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e os movimentos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sectários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520845C5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lastRenderedPageBreak/>
        <w:t xml:space="preserve">Bibliografia: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ARKOUN, Muhammad,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pensée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Paris,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Presses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Universitaires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France, 1975.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>CRONE, Patricia, Medieval Islamic Political Thought. Edinburgh, Edinburgh U.P., 2004.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br/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diagrama do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shiismo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</w:p>
    <w:p w14:paraId="226970B5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421596F0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longínquas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origens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dissidência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shiita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assabiyya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etinicização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shi’a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iraniana: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shi’a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herdeira do Zoroastrismo? O problema do messianismo.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-os contornos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sociológicos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seita 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ramificações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shiísmo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-os contornos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shi’a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agit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prop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>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versões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tardias dentro (e quase fora)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Fatimidas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Drusos, Assassinos. </w:t>
      </w:r>
    </w:p>
    <w:p w14:paraId="17CE70FD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intenso crescimento,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VIII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momento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série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redefinições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interior do jovem quadro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que abrangem a esfera do religioso/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tanto como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ideologia e da cultura.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A primeira delas tem a ver com a progressiva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 campo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entre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shiitas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aqueles que, depois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revolução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aglutinar em torno de uma legitimidade identificada com a figura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sunna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5D162E3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 quadro fundador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shiismo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parece evidente e marcado por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série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eventos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os quais entendemos definir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supra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como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problemática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ascensão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califado do parente masculino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Profeta, ‘Ali; afastamento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forçado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 por parte dos seus filhos e morte (“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martírio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”) do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carismático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deles,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Hussayn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Karbala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onde o seu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túmulo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passará imediatamente a assinalar local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peregrinação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;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aceitação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legitimidade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pelos seus seguidores que a partir daí se constituem em seita no interior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(no sentido de um grupo separado com regras e identidade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própria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). É justamente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heterodoxa e muitas vezes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insurrecta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os estimula a partir para zonas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periféricas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caso do planalto iraniano, onde lhes estava assegurado um largo futuro, caso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longínqua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província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 que 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conseguirão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apossar no final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IX. No centro mesmo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Baixa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Mesopotâmia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que o povoamento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fora muito precoce e mesmo anterior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invasão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constituem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nessa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época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uma parte dominante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população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apoiados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conseguem completamente controlar. </w:t>
      </w:r>
    </w:p>
    <w:p w14:paraId="2CCB9B86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partir deste quadro inicial relativamente evidente, aquilo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explicar o crescimento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diversificação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shi’a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durante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seguintes, é um paradigma de crescente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complexificação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que entram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variáveis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acomodação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dentro do movimento de sentimentos de cariz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étnico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/nacional,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influências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vindas do zoroastrismo e dos radicalismos emergentes. Pode, neste sentido, dizer-se que a especificidade do movimento permite receber dentro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tensões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de outro modo lhe teriam ficado externas, o que, inevitavelmente, acentuará ao longo do tempo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vocação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heterodoxa e essa mesma complexidade. </w:t>
      </w:r>
    </w:p>
    <w:p w14:paraId="40DC32FC" w14:textId="4344A3DD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Quanto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nacional, 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visível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 clareza antes que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agitação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promovida por Abu Muslim a partir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oriental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tenha vindo chamar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atenção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importância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quase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esquecida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entretanto, da componente persa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Os progressos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haviam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aí sido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céleres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que em parte se deverá à crise que precede a queda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em parte ao facto de o zoroastrismo estar muito conotado com a aristocracia guerreira da sociedade derrotada e, finalmente, em parte ao facto de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na simplicidade da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poder acomodar com facilidade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religiosas anteriores. Entre elas destaca-se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prevalência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certo dualismo, que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 Mani levara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consequências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assim como a centralidade dos mitos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redencionistas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messiânicos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levará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reinterpretação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Álidas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à luz dessa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crença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salvífica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Daí a progressiva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codificação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legitimidade fundada numa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Imams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sucessores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Hussayn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na expectativa de um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mahdi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que, ao longo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países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serviu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amiúde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receptáculo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agitação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social de cariz milenarista. Tudo isto aprofunda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seita e promove numerosas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fragmentações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internas, possibilitando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genealogia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dissidência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nos pode trazer, em muitos casos, até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actualidade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Por sua vez, a seita, é sociologicamente, o meio ideal para ambientar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radicalização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radicalização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sido amplificada pelo isolamento crescente face ao poder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obstante o decisivo papel que o movimento teve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ascensão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destes. A crescente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agitação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propaganda” do movimento encontrará uma via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privilegiada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Norte e no Egipto onde um grupo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shiita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virá a triunfar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X, sem nunca conseguir que a maioria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muçulmanos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locais os siga.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radicalização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depressa conduzirá a percursos quase fora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no caso de dois movimentos surgidos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XI, um caracterizado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messiânica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estrema, os Drusos, outro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violência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cirúrgica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cultivam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método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intervenção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os Assassinos. </w:t>
      </w:r>
    </w:p>
    <w:p w14:paraId="5A9CC43D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8. 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revolução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abássida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5470D132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" w:eastAsia="Times New Roman" w:hAnsi="Times" w:cs="Times New Roman"/>
          <w:b/>
          <w:bCs/>
          <w:lang w:val="en-US" w:eastAsia="pt-PT"/>
        </w:rPr>
        <w:t>Bibliografia</w:t>
      </w:r>
      <w:proofErr w:type="spellEnd"/>
      <w:r w:rsidRPr="00BF724D">
        <w:rPr>
          <w:rFonts w:ascii="Times" w:eastAsia="Times New Roman" w:hAnsi="Times" w:cs="Times New Roman"/>
          <w:b/>
          <w:bCs/>
          <w:lang w:val="en-US" w:eastAsia="pt-PT"/>
        </w:rPr>
        <w:t xml:space="preserve">: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BERKEY, Jonathan P., </w:t>
      </w:r>
      <w:r w:rsidRPr="00BF724D">
        <w:rPr>
          <w:rFonts w:ascii="Times" w:eastAsia="Times New Roman" w:hAnsi="Times" w:cs="Times New Roman"/>
          <w:i/>
          <w:iCs/>
          <w:lang w:val="en-US" w:eastAsia="pt-PT"/>
        </w:rPr>
        <w:t>The Formation of Islam. Religion and Society in the Near east, 600-1800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Cambridge, Cambridge University Press, 2003. </w:t>
      </w:r>
      <w:proofErr w:type="spellStart"/>
      <w:r w:rsidRPr="00BF724D">
        <w:rPr>
          <w:rFonts w:ascii="Times" w:eastAsia="Times New Roman" w:hAnsi="Times" w:cs="Times New Roman"/>
          <w:i/>
          <w:iCs/>
          <w:lang w:val="en-US" w:eastAsia="pt-PT"/>
        </w:rPr>
        <w:t>Encyclopaedia</w:t>
      </w:r>
      <w:proofErr w:type="spellEnd"/>
      <w:r w:rsidRPr="00BF724D">
        <w:rPr>
          <w:rFonts w:ascii="Times" w:eastAsia="Times New Roman" w:hAnsi="Times" w:cs="Times New Roman"/>
          <w:i/>
          <w:iCs/>
          <w:lang w:val="en-US" w:eastAsia="pt-PT"/>
        </w:rPr>
        <w:t xml:space="preserve"> of Islam. New Edition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. Leiden, E.J. Brill, 1960-.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fitna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.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désordre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politique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dans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l’Islam</w:t>
      </w:r>
      <w:proofErr w:type="spellEnd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NewRomanPS" w:eastAsia="Times New Roman" w:hAnsi="TimesNewRomanPS" w:cs="Times New Roman"/>
          <w:i/>
          <w:iCs/>
          <w:lang w:eastAsia="pt-PT"/>
        </w:rPr>
        <w:t>m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édiévale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Número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especial da revista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Médiévales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Paris,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Presses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Universitaires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Vincennes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2011. </w:t>
      </w:r>
    </w:p>
    <w:p w14:paraId="07165005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Planta do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Palácio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de al-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Mutawakkil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6641B6C1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>- r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crise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dissidência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parte oriental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insurreição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 ou problema de centralidade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levantamento de Abu Muslim e o triunfo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Banu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l-Abbas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triunfo da via do meio: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Sunna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ortodoxia religiosa.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recentramento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: geografia e sociologia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uma nova realeza de modelo persa: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Khalifa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rasul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Khailfa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Laqab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).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ritual e propaganda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dinástica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síncrese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 e a romano- bizantina. </w:t>
      </w:r>
    </w:p>
    <w:p w14:paraId="020CFE2E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Outra das grandes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redefinições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prende-se com a decisiva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empreendida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tomada do poder de um ramo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família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Profeta, muito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tronco deste que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que soubera aguardar a sua oportunidade durante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durara aquele regime. Num quadro destes poder-se-ia pensar que se tratava apenas de mais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no interior 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Qurayshitas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Acabaria por ser,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bastante mais do que isso. Todos os ingredientes tradicionais estavam presentes: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centralidade dos interesses do grupo sobre os individuais,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Kufa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Damasco,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rebelião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acaba no assassinato dos derrotados. Dois elementos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novos – a origem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geográfica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rebelião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a radicalidade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eliminação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derrotado, que acabou por ser massacrado (quase) até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homem. </w:t>
      </w:r>
    </w:p>
    <w:p w14:paraId="58CAA395" w14:textId="3B4F3C2A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A origem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geográfica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um dado decisivo na medida em que a maior parte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interpretações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sobre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Revolução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sublinhavam, até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pouco,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carácter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iraniano, e por isso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insurreição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nacional,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rebelião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Essa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ser escamoteada, na medida em que o movimento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levantamento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Khurasan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uma das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orientais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parte da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persa. Aí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líder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Abu Muslim, consegue suscitar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agitação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secessão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No caminho para Ocidente,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os descendentes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al-Abbas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sediados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Kufa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garantem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liderança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efectiva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movimento, arabizando-o. Nenhuma forma de legitimidade parece poder vingar no interior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quer se trate de um poder instalado ou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revolucionário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fora da trama de ortodoxia que envolve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família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Profeta. A 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insurreição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nacional” persa, com muitos laivos de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shiismo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evidencia deste modo os seus limites. N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 esgotará, no entanto, numa mera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apropriação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 por parte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̃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aparentado ao Profeta. Algo de definitivo, muda neste momento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Antes de mais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ortodoxia. Embora apoiados nos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shiitas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perderão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tempo a demarcar-se. A via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antes 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ortodoxia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 que o califa é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legítimo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garante. Estamos aqui nas origens do sunismo,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meio.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no seu interior que se definem, nos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imediatos, as grandes escolas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jurisprudência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constituem o segundo patamar de garantia para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aqui a chegar à sua maturidade. </w:t>
      </w:r>
    </w:p>
    <w:p w14:paraId="70F26F61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Em segundo lugar,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irá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bascular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 forma permanente mais para Oriente, colocando o seu centro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no Iraque.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influência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persa vem assim substituir a de Roma, como eixo estruturante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É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orientalização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permite complexificar uma sociedade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é muito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velha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que enverga ainda roupagens novas, a principal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responsável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pelo tom que regerá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que se mostra mais inequivocamente persa e oriental que romano/bizantino. Este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recentramento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implicará uma nova ordem territorial e uma nova sociologia.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Bagdad apresenta-se particularmente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emblemática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este respeito, tendo o califa al-Mansur, proposto com a sua nova capital um modelo de urbanismo que acomode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exigências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funcionais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metrópole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comercial ao mesmo tempo que exprime uma ordem imperial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ambição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universal. A escolha de uma planta circular, com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comercial e habitacional a envolver a enorme esplanada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real e da mesquita, de onde partem quatro vias para os quatro cantos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constitui todo um programa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ambicioso, capaz,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seguinte, de seduzir os imperadores bizantinos. Novas cidades e novos homens: com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os persas, que tinham conhecido uma travessia do deserto durante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dar entrada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administração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 a consequente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sistema.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IX,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sucessivas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famílias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vizires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hão-de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dominá-lo completamente. </w:t>
      </w:r>
    </w:p>
    <w:p w14:paraId="5B4C32CC" w14:textId="69C3D9CB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Por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 este talvez seja o legado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sólido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Revolução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, a realeza, leia- se o califado, sacraliza-se. Uma nova realeza de modelo persa emerge em que o 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Khalifa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rasul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”, o “sucessor do enviado de Deus”, dá lugar ao “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Khalifa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Allah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”, o “sucessor de Deus”. A marcar esse estatuto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tomam um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Laqab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título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honorífico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invocação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sempre religiosa, pelo qual, uma vez entronizados, passam a </w:t>
      </w:r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 xml:space="preserve">ser conhecidos, assim se distinguindo do comum dos mortais. Mais tarde,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apropriação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desse costume por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príncipes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vizires dirá muito sobre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erosão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 da dinastia.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sacralização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realeza tem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expressão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ponto de vista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arquitectura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atinge, com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 ponto culminante enquanto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expressão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ideologia. Embora nenhum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sobreviva,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contrário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que sucede com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rasto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arqueológico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deixaram os dois imensos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Samarra, permite reconstruir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directa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inspiração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sassânida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(planta estruturada por um eixo culminando numa Aula Regia,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relevância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simbólica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jardins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quadri-partidos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forma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remissão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a natureza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extra-terrena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 e, no limite, para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Paraíso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decoração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cerâmica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inteiramente convergente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com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bizantinas. É aí que se desenrola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espectáculo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quotidiano do poder, funcionando a corte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metáfora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sociedade. É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num outro horizonte diferente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javanês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Estado como Teatro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de que falava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Geertz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2645634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>9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circulação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do saber entre o </w:t>
      </w:r>
      <w:proofErr w:type="spellStart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>adab</w:t>
      </w:r>
      <w:proofErr w:type="spellEnd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 xml:space="preserve"> </w:t>
      </w: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e o </w:t>
      </w:r>
      <w:proofErr w:type="spellStart"/>
      <w:r w:rsidRPr="00BF724D">
        <w:rPr>
          <w:rFonts w:ascii="Times" w:eastAsia="Times New Roman" w:hAnsi="Times" w:cs="Times New Roman"/>
          <w:b/>
          <w:bCs/>
          <w:i/>
          <w:iCs/>
          <w:lang w:eastAsia="pt-PT"/>
        </w:rPr>
        <w:t>isnad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3E4C06C5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Bibliografia: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BLACHÈRE,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Régis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Histoire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de 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littérature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arabe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.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Des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origines à 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fin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du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XV</w:t>
      </w:r>
      <w:r w:rsidRPr="00BF724D">
        <w:rPr>
          <w:rFonts w:ascii="Times" w:eastAsia="Times New Roman" w:hAnsi="Times" w:cs="Times New Roman"/>
          <w:i/>
          <w:iCs/>
          <w:position w:val="12"/>
          <w:sz w:val="16"/>
          <w:szCs w:val="16"/>
          <w:lang w:eastAsia="pt-PT"/>
        </w:rPr>
        <w:t xml:space="preserve">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siècle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de J. C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. 3 vols.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Paris, Maisonneuve, 1952. CHAMBERLAIN, Michael, </w:t>
      </w:r>
      <w:proofErr w:type="gramStart"/>
      <w:r w:rsidRPr="00BF724D">
        <w:rPr>
          <w:rFonts w:ascii="TimesNewRomanPSMT" w:eastAsia="Times New Roman" w:hAnsi="TimesNewRomanPSMT" w:cs="Times New Roman"/>
          <w:lang w:val="en-US" w:eastAsia="pt-PT"/>
        </w:rPr>
        <w:t>Knowledge</w:t>
      </w:r>
      <w:proofErr w:type="gram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 and social practice in medieval Damascus, 1190-1350.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Cambridge, Cambridge U.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P .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, 2002. URVOY, Dominique,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Histoire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de la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Pensée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Arabe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et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Islamique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Paris,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Seuil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2006.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Monde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des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Ulémas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andalous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du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V/XI</w:t>
      </w:r>
      <w:r w:rsidRPr="00BF724D">
        <w:rPr>
          <w:rFonts w:ascii="Times" w:eastAsia="Times New Roman" w:hAnsi="Times" w:cs="Times New Roman"/>
          <w:i/>
          <w:iCs/>
          <w:position w:val="12"/>
          <w:sz w:val="16"/>
          <w:szCs w:val="16"/>
          <w:lang w:eastAsia="pt-PT"/>
        </w:rPr>
        <w:t xml:space="preserve">e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>au VII/XIII</w:t>
      </w:r>
      <w:r w:rsidRPr="00BF724D">
        <w:rPr>
          <w:rFonts w:ascii="Times" w:eastAsia="Times New Roman" w:hAnsi="Times" w:cs="Times New Roman"/>
          <w:i/>
          <w:iCs/>
          <w:position w:val="12"/>
          <w:sz w:val="16"/>
          <w:szCs w:val="16"/>
          <w:lang w:eastAsia="pt-PT"/>
        </w:rPr>
        <w:t xml:space="preserve">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siècle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.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Etude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sociologique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Genève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Librairie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Droz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1978.VERNET, Juan, </w:t>
      </w:r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Lo que Europa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debe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al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Islam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de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España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Barcelona, El Acantilado, 1999. </w:t>
      </w:r>
    </w:p>
    <w:p w14:paraId="05AC9367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Apoios: texto da geografia de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Ibn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Hawqal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BF724D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489F961B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>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cultural: triunfo da cultura numa sociedade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escrituralística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grande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koine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̀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greco-árabo-persa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)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mediadores: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siríaco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os tradutores, ou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corpus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clássico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>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multiplicadores: mecenato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(“o estado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caligráfico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”),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Bayt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Hikma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consumidores: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hassa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mercadores, consumos e curiosidades urbanas, a cultura como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promoção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social.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o corpus dos saberes (o que se ganha, o que se perde) e as formas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transmissão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-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translatio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do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clássico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Oriente, do Oriente ao Ocidente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deste à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Latinitas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). </w:t>
      </w:r>
    </w:p>
    <w:p w14:paraId="2D4E72C9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Última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grande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redefinição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tem por palco o universo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: o gigantesco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projecto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síntese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reelaboração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cultural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dara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origem à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koine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̀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Depois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Helenístico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mais de um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milénio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esta é sem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dúvida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mais importante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transformação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cultura. A analogia é, de resto aqui muito mais que fortuita porque o corte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sucede ao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Helenístico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como se alimenta dele, purgando-o dos saberes que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estigmatiza ou desfavorece e regenerando os outros,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processo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assimilação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assente na glosa, mas em certas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áreas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experimentação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Esta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koine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>́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, expressando-se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língua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pouco apropriada para as novas subtilezas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lógicas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que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por isso de se adaptar e crescer,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assim muito mais grega e persa (mas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Babilónica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 que semita e tem, nessa medida, todas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condições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ser o sangue que vivifica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artérias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cosmopolita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apenas remotamente ligado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às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suas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raízes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primevas. </w:t>
      </w:r>
    </w:p>
    <w:p w14:paraId="3A1563C2" w14:textId="77777777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>Reconheça-se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a matriz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escrituralística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sociedade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favorecia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cultural.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deverá ser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automática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porque se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religiosa necessitava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alfabetização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produz necessariamente uma cultura aberta, como,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épocas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tardias, o conservadorismo cultural dessas sociedades viria demonstrar.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explicação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deverá por isso assentar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convergência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 uma significativa procura por consumos culturais numa sociedade muito aberta, cosmopolita e em crescimento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económico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acelerado, e o entendimento por parte do califa, no que é seguido pela elite, que parte do seu papel passa por um mecenato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activo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Nalgumas sociedades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extraordinárias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a Bagdad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IX ou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Itália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Quatrocento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esta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convicção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principesca chegou a produzir resultados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eles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extraordinários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25449C01" w14:textId="198725FA" w:rsidR="00BF724D" w:rsidRPr="00BF724D" w:rsidRDefault="00BF724D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BF724D">
        <w:rPr>
          <w:rFonts w:ascii="TimesNewRomanPSMT" w:eastAsia="Times New Roman" w:hAnsi="TimesNewRomanPSMT" w:cs="Times New Roman"/>
          <w:lang w:eastAsia="pt-PT"/>
        </w:rPr>
        <w:t xml:space="preserve">O trabalho preliminar é feito por um conjunto de personagens mediadoras, geralmente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cristãos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siríacos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trabalham sobre o grego, o aramaico, que é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língua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mãe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finalmente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Do seu trabalho, que precede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três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 dos tradutores de Toledo (e o permite), sai um corpus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traduções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constitui a primeira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acumulação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saber da Antiguidade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Clássica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agora vertido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O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célebre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deles: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Hunayn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Ibn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Ishaq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destes mediadores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́, no entanto, ser entendida sem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protecção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Um destes califas, 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Ma’mun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ao fundar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Bayt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Hikma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glosa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fórmula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que havia feito o sucesso da academia que orbitava a Biblioteca de Alexandria.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produção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cultural volta a estar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poder, preenchendo o vazio que havia sido no mundo do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latim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grego, pelo estado do Baixo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que se deixara contagiar pela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ligação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centros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produção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cultural aos templos.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Insanável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destruição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Serapeum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parcialmente compensada na Bagdad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IX. O mecenato principesco age aqui como agente catalisador e multiplicador.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destinatários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desta cultura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extravasam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contudo largamente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palácio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hassa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aristocracia que se vai afirmando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proximidade ao poder, do acesso aos cargos e da riqueza, alimenta- se desta cultura que sustenta 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promoção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o instrumento da sua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actividade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num Estado que se burocratiza e em que os dotes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caligráficos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poéticos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leia-se,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 filtro latino,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oratórios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podem ser decisivos no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cursus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honorum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A aristocracia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áulica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bizantina, é,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época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paralelo mais feliz. Mas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uma sociedade urbana numerosa e letrada, em que abundam os comerciantes e a viagem é frequente.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eles os principais consumidores desta cultura cujos interesses,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tópicos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padrões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traem essa dupla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proveniência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áulica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comercial.</w:t>
      </w:r>
      <w:r w:rsidRPr="00BF724D">
        <w:rPr>
          <w:rFonts w:ascii="TimesNewRomanPSMT" w:eastAsia="Times New Roman" w:hAnsi="TimesNewRomanPSMT" w:cs="Times New Roman"/>
          <w:lang w:eastAsia="pt-PT"/>
        </w:rPr>
        <w:br/>
        <w:t xml:space="preserve">No centro de tudo está 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adab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um conjunto de saberes que no mundo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académico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hoje serve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tradução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ao conceito de “Letras”, ou talvez mais precisamente “Humanidades”. Formas especificamente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a poesia, 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um conjunto de saberes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proveniência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helénica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como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aí tratados. A historiografia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começara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aqui, para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mais se interromper. Outros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géneros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pararelos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surgem, a cavalo numa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concepção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saber apoiada nas cadeias 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transmissão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isnad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),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transposição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metafórica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para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cultural das genealogias familiares: 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Diccionários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Biográficos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Autores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os mais importantes. Mais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 Geografia, essencial nesse mundo de viajantes e comerciantes, a da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tradição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Geografia Humana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grega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aritmética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da escola de Alexandria, agora retomada. A cartografia e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inventário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dos climas, </w:t>
      </w:r>
      <w:proofErr w:type="gramStart"/>
      <w:r w:rsidRPr="00BF724D">
        <w:rPr>
          <w:rFonts w:ascii="TimesNewRomanPSMT" w:eastAsia="Times New Roman" w:hAnsi="TimesNewRomanPSMT" w:cs="Times New Roman"/>
          <w:lang w:eastAsia="pt-PT"/>
        </w:rPr>
        <w:t>abandonado</w:t>
      </w:r>
      <w:proofErr w:type="gramEnd"/>
      <w:r w:rsidRPr="00BF724D">
        <w:rPr>
          <w:rFonts w:ascii="TimesNewRomanPSMT" w:eastAsia="Times New Roman" w:hAnsi="TimesNewRomanPSMT" w:cs="Times New Roman"/>
          <w:lang w:eastAsia="pt-PT"/>
        </w:rPr>
        <w:t xml:space="preserve"> entretanto pelos gregos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serão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aqui retomados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série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grandes nomes (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Ibn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Hawqal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Muqaddasi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por exemplo). Pelas mesmas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razões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ciências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número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Aritmética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Geometria, sofrem uma total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revisão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 partir do paradigma grego, a cavalo na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experiência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acumulada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Babilónia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e nas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influências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indianas. Finalmente a Medicina, em que o paradigma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Galénico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é sistematizado em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função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 uma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lastRenderedPageBreak/>
        <w:t>médica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muito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activa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, o que resultará,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́ no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XI, no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Canun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de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Ibn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Sina. 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inventário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seria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inesgotável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e o tom dá conta da riqueza 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objecto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. É ela que explica a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importância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desta </w:t>
      </w:r>
      <w:proofErr w:type="spellStart"/>
      <w:r w:rsidRPr="00BF724D">
        <w:rPr>
          <w:rFonts w:ascii="Times" w:eastAsia="Times New Roman" w:hAnsi="Times" w:cs="Times New Roman"/>
          <w:i/>
          <w:iCs/>
          <w:lang w:eastAsia="pt-PT"/>
        </w:rPr>
        <w:t>koine</w:t>
      </w:r>
      <w:proofErr w:type="spellEnd"/>
      <w:r w:rsidRPr="00BF724D">
        <w:rPr>
          <w:rFonts w:ascii="Times" w:eastAsia="Times New Roman" w:hAnsi="Times" w:cs="Times New Roman"/>
          <w:i/>
          <w:iCs/>
          <w:lang w:eastAsia="pt-PT"/>
        </w:rPr>
        <w:t xml:space="preserve">̀ </w:t>
      </w:r>
      <w:r w:rsidRPr="00BF724D">
        <w:rPr>
          <w:rFonts w:ascii="TimesNewRomanPSMT" w:eastAsia="Times New Roman" w:hAnsi="TimesNewRomanPSMT" w:cs="Times New Roman"/>
          <w:lang w:eastAsia="pt-PT"/>
        </w:rPr>
        <w:t xml:space="preserve">enquanto elo entre um legado </w:t>
      </w:r>
      <w:proofErr w:type="spellStart"/>
      <w:r w:rsidRPr="00BF724D">
        <w:rPr>
          <w:rFonts w:ascii="TimesNewRomanPSMT" w:eastAsia="Times New Roman" w:hAnsi="TimesNewRomanPSMT" w:cs="Times New Roman"/>
          <w:lang w:eastAsia="pt-PT"/>
        </w:rPr>
        <w:t>clássico</w:t>
      </w:r>
      <w:proofErr w:type="spellEnd"/>
      <w:r w:rsidRPr="00BF724D">
        <w:rPr>
          <w:rFonts w:ascii="TimesNewRomanPSMT" w:eastAsia="Times New Roman" w:hAnsi="TimesNewRomanPSMT" w:cs="Times New Roman"/>
          <w:lang w:eastAsia="pt-PT"/>
        </w:rPr>
        <w:t xml:space="preserve"> passado e uma cultura europeia futura. </w:t>
      </w:r>
    </w:p>
    <w:p w14:paraId="2BC5F15F" w14:textId="77777777" w:rsidR="00B32E86" w:rsidRDefault="00B32E86" w:rsidP="006D5717">
      <w:pPr>
        <w:rPr>
          <w:rFonts w:ascii="TimesNewRomanPS" w:eastAsia="Times New Roman" w:hAnsi="TimesNewRomanPS" w:cs="Times New Roman"/>
          <w:b/>
          <w:bCs/>
          <w:lang w:eastAsia="pt-PT"/>
        </w:rPr>
      </w:pPr>
      <w:r>
        <w:rPr>
          <w:rFonts w:ascii="TimesNewRomanPS" w:eastAsia="Times New Roman" w:hAnsi="TimesNewRomanPS" w:cs="Times New Roman"/>
          <w:b/>
          <w:bCs/>
          <w:lang w:eastAsia="pt-PT"/>
        </w:rPr>
        <w:br w:type="page"/>
      </w:r>
    </w:p>
    <w:p w14:paraId="2767057C" w14:textId="62DFE7FF" w:rsidR="00703F93" w:rsidRPr="00703F93" w:rsidRDefault="00B32E86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>
        <w:rPr>
          <w:rFonts w:ascii="TimesNewRomanPS" w:eastAsia="Times New Roman" w:hAnsi="TimesNewRomanPS" w:cs="Times New Roman"/>
          <w:b/>
          <w:bCs/>
          <w:lang w:eastAsia="pt-PT"/>
        </w:rPr>
        <w:lastRenderedPageBreak/>
        <w:t xml:space="preserve">IV- </w:t>
      </w:r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 xml:space="preserve">Nas remotas origens do </w:t>
      </w:r>
      <w:proofErr w:type="spellStart"/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>Islão</w:t>
      </w:r>
      <w:proofErr w:type="spellEnd"/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 xml:space="preserve"> moderno: o “</w:t>
      </w:r>
      <w:proofErr w:type="spellStart"/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>período</w:t>
      </w:r>
      <w:proofErr w:type="spellEnd"/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 xml:space="preserve"> do meio” (</w:t>
      </w:r>
      <w:proofErr w:type="spellStart"/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>sécs</w:t>
      </w:r>
      <w:proofErr w:type="spellEnd"/>
      <w:r w:rsidR="00703F93" w:rsidRPr="00703F93">
        <w:rPr>
          <w:rFonts w:ascii="TimesNewRomanPS" w:eastAsia="Times New Roman" w:hAnsi="TimesNewRomanPS" w:cs="Times New Roman"/>
          <w:b/>
          <w:bCs/>
          <w:lang w:eastAsia="pt-PT"/>
        </w:rPr>
        <w:t>. X</w:t>
      </w:r>
      <w:r w:rsidR="00703F93" w:rsidRPr="00703F93">
        <w:rPr>
          <w:rFonts w:ascii="Times" w:eastAsia="Times New Roman" w:hAnsi="Times" w:cs="Times New Roman"/>
          <w:b/>
          <w:bCs/>
          <w:lang w:eastAsia="pt-PT"/>
        </w:rPr>
        <w:t xml:space="preserve">- XIII) </w:t>
      </w:r>
    </w:p>
    <w:p w14:paraId="364A3865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designação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meio aqui utilizada serve bem, creio, como descritor de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época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em que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territórios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sob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mais se aproximam daquilo que caracteriza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medievalidade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ocidental. Penso sobretudo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fragmentação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poderes, embora esta nunca chegue a atingir a esfera local, como acontece na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Latinitas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 na crescente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preponderância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aristocracia militar.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aqui a estrutura estatal nunca se eclipsa, passando a acomodar os novos elementos, sobretudo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exógenos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transformando-se sem se desvirtuar completamente.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meio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porque, depois da fase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definição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inicial, é nestes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se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decidir algumas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características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fazem parte da sociedade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Oriente e que,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mais tarde,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Otomano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fará mais que acomodar. </w:t>
      </w:r>
    </w:p>
    <w:p w14:paraId="4D26F00A" w14:textId="3AB17595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>10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A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divisão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do califado e a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regionalização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: as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experiências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andaluza e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egípcia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. </w:t>
      </w:r>
    </w:p>
    <w:p w14:paraId="69D37EC1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Bibliografia: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ARIÉ, Rachel,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España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Musulmana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.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Siglos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VIII-XV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Barcelona, Labor, 1984. DE FELIPE, Helena,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Identidad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y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onomástica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de los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beréberes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de al-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Madrid, C.S.I.C., 1997. GOITEIN, S. D,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 xml:space="preserve">A Mediterranean Society. The Jewish Communities of the Arab world as Portrayed in the Documents of the Cairo </w:t>
      </w:r>
      <w:proofErr w:type="spellStart"/>
      <w:r w:rsidRPr="00703F93">
        <w:rPr>
          <w:rFonts w:ascii="Times" w:eastAsia="Times New Roman" w:hAnsi="Times" w:cs="Times New Roman"/>
          <w:i/>
          <w:iCs/>
          <w:lang w:val="en-US" w:eastAsia="pt-PT"/>
        </w:rPr>
        <w:t>Geniza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>. Vol. I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. Economic Foundations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Berkeley / Los Angeles, University of California Press, 1967.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GUICHARD, Pierre,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>Al-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Andalus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.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Estructura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antropológica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de una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sociedad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islâmica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en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Occidente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Granada,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Servicio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Publicaciones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Universidad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Granada, 1995.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L’Espagne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et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la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Sicile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musulmanes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aux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Xie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et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XIIe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siècles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Lyon, Presses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Universitaires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de Lyon, 1990. JAYYUSI, Salma Khadra, </w:t>
      </w:r>
      <w:proofErr w:type="spellStart"/>
      <w:proofErr w:type="gramStart"/>
      <w:r w:rsidRPr="00703F93">
        <w:rPr>
          <w:rFonts w:ascii="TimesNewRomanPSMT" w:eastAsia="Times New Roman" w:hAnsi="TimesNewRomanPSMT" w:cs="Times New Roman"/>
          <w:lang w:val="en-US" w:eastAsia="pt-PT"/>
        </w:rPr>
        <w:t>ed.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The</w:t>
      </w:r>
      <w:proofErr w:type="spellEnd"/>
      <w:proofErr w:type="gramEnd"/>
      <w:r w:rsidRPr="00703F93">
        <w:rPr>
          <w:rFonts w:ascii="Times" w:eastAsia="Times New Roman" w:hAnsi="Times" w:cs="Times New Roman"/>
          <w:i/>
          <w:iCs/>
          <w:lang w:val="en-US" w:eastAsia="pt-PT"/>
        </w:rPr>
        <w:t xml:space="preserve"> Legacy of Muslim Spain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, 2 vols..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Leiden, E.J. Brill, 1994.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Portugal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Islâmico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. Os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últimos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sinais do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Mediterrâneo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Catálogo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Exposição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 [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s.l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.], Museu Nacional de Arqueologia, [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s.d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.] MAURICI, Ferdinando,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Breve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storia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degli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arabi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in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Sicilia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Palermo, </w:t>
      </w:r>
      <w:proofErr w:type="spellStart"/>
      <w:r w:rsidRPr="00BF724D">
        <w:rPr>
          <w:rFonts w:ascii="TimesNewRomanPSMT" w:eastAsia="Times New Roman" w:hAnsi="TimesNewRomanPSMT" w:cs="Times New Roman"/>
          <w:lang w:val="en-US" w:eastAsia="pt-PT"/>
        </w:rPr>
        <w:t>Flaccovio</w:t>
      </w:r>
      <w:proofErr w:type="spellEnd"/>
      <w:r w:rsidRPr="00BF724D">
        <w:rPr>
          <w:rFonts w:ascii="TimesNewRomanPSMT" w:eastAsia="Times New Roman" w:hAnsi="TimesNewRomanPSMT" w:cs="Times New Roman"/>
          <w:lang w:val="en-US" w:eastAsia="pt-PT"/>
        </w:rPr>
        <w:t xml:space="preserve">, 2006.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PICARD, Christophe,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 xml:space="preserve">Le Portugal </w:t>
      </w:r>
      <w:proofErr w:type="spellStart"/>
      <w:r w:rsidRPr="00703F93">
        <w:rPr>
          <w:rFonts w:ascii="Times" w:eastAsia="Times New Roman" w:hAnsi="Times" w:cs="Times New Roman"/>
          <w:i/>
          <w:iCs/>
          <w:lang w:val="en-US" w:eastAsia="pt-PT"/>
        </w:rPr>
        <w:t>musulman</w:t>
      </w:r>
      <w:proofErr w:type="spellEnd"/>
      <w:r w:rsidRPr="00703F93">
        <w:rPr>
          <w:rFonts w:ascii="Times" w:eastAsia="Times New Roman" w:hAnsi="Times" w:cs="Times New Roman"/>
          <w:i/>
          <w:iCs/>
          <w:lang w:val="en-US" w:eastAsia="pt-PT"/>
        </w:rPr>
        <w:t xml:space="preserve"> (VIII-</w:t>
      </w:r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XIII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>siècle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).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>L’Occident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>d’al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-Andalus</w:t>
      </w:r>
      <w:proofErr w:type="spellEnd"/>
      <w:r w:rsidRPr="00703F93">
        <w:rPr>
          <w:rFonts w:ascii="Times" w:eastAsia="Times New Roman" w:hAnsi="Times" w:cs="Times New Roman"/>
          <w:i/>
          <w:iCs/>
          <w:lang w:val="en-US" w:eastAsia="pt-PT"/>
        </w:rPr>
        <w:t xml:space="preserve"> sous domination </w:t>
      </w:r>
      <w:proofErr w:type="spellStart"/>
      <w:r w:rsidRPr="00703F93">
        <w:rPr>
          <w:rFonts w:ascii="Times" w:eastAsia="Times New Roman" w:hAnsi="Times" w:cs="Times New Roman"/>
          <w:i/>
          <w:iCs/>
          <w:lang w:val="en-US" w:eastAsia="pt-PT"/>
        </w:rPr>
        <w:t>islamique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Paris,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Maisonneuve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Larose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2000. COELHO,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António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Borges,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Portugal na Espanha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Árabe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vol. I,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>Geografia e Cultura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, vol. II,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História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, 2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aed..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Lisboa, Caminho, 1989. </w:t>
      </w:r>
    </w:p>
    <w:p w14:paraId="6D527945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10033246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prelúdios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revoltas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zandj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autonomia do Egipto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Tulunida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ocidentais.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 novo modelo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exercício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califado: a tutela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Buyida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ou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separação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entre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carismático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 executivo. O Dualismo um modelo de futuro. </w:t>
      </w:r>
    </w:p>
    <w:p w14:paraId="65AC519D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decadência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ou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complexificação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?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unidade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ainda e sempre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legitimidade (porquê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́ agora...).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 depois o Egipto,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O califado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chiita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recomposição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das velhas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divisões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romano-persas.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tardia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Cairo e do Egipto como um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pólos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nucleares do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arquitectura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enquanto programa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mesquitas,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madrasas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difusão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saber e a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Azhar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>- 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ou o triunfo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Ocidente.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grande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orientalização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meados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IX, ou como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 rendem à cultura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</w:r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 xml:space="preserve">-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feudalização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ao estado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tributário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: senhores locais e emires.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 programa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‘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Abd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Rahman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III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proclamação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califado.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>- 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Latinitas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um problema em aberto. </w:t>
      </w:r>
    </w:p>
    <w:p w14:paraId="30D61563" w14:textId="44F8A42E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O facto maior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divisão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califado, ou, mais precisamente, o aparecimento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soluções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Ocidente que disputam ao califa de Bagdad a legitimidade enquanto sucessor do Profeta, ao mesmo tempo que este deixa de conseguir estender a sua autoridade executiva ao conjunto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orientais. Esta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fragmentação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faz-se anunciar,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por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série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transformações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que, desde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IX (III H.),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mudando a forma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exercício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poder no interior do califado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Para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frequentes conflitos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 aquele que ocorreu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após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morte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Harun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al-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Rashid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esse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é marcado por uma primeira crise do califado, que deverá ser lida quer à luz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complexificação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peso crescente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máquina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estado, quer do gigantismo das cidades e dos conflitos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sócias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inerentes. Por um lado,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burocratização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consequente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profissionalização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administração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central cria dinastias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funcionários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cuja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preeminência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chega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ameaçar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 poder do califa, sempre mais remetido para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simbólicas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carismáticas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É o caso do regime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cla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̃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Barmécida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funcionários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iranianos que chegam a controlar o califado, representando um exemplo precoce de um primitivo dualismo de poderes que depois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a regra. Nos meados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X,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Buyidas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origem iraniana,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assumi-lo de forma clara, deixando ao califa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estritamente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carismáticas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Por outro lado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o Estado está quase completamente dependente, para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exercício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militares, do recrutamento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mercenários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turcos sobretudo, o que significa a total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desactivação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estrutura de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jund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de recrutamento tribal que tinha estado na origem do sucesso militar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Esta crescente complexidade tem como contraponto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difusão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 descontentamento social canalizada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adesão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movimentos radicais e a seitas, as muitas variantes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shiismo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ocorrendo neste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 que, nos campos dá lugar 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jacqueries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como aquela que levanta os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zandj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escravos negros que trabalhavam os campos do Baixo Iraque. Neste contexto, que as sucessivas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mudanças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capitalidade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IX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resolvem, acumulam-se os sinais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fragmentação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próxima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primeira significativa, porque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próxima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é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secessão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Egipto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Ibn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Tulun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governador de resto designado pelo califa. O sistema provincial laboriosamente clonado do Bizantino dois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antes deixara de funcionar.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Fustat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novo emir manda construir uma mesquita: um sinal de soberania. </w:t>
      </w:r>
    </w:p>
    <w:p w14:paraId="1FFF55C0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Essas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transformações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deverão</w:t>
      </w:r>
      <w:proofErr w:type="spellEnd"/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entanto ser lidas como um sinal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decadência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metáfora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esconde por vezes o triunfo da complexidade. Simplesmente 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estava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demasiado aculturado com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conquistadas para poder continuar a ser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ténue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verniz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unificação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Chegara a hora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soluções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regionais. De entre elas, destacaremos aqui apenas duas, por serem as de maior durabilidade,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repercussão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por assumir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integral com o regime de Bagdad: o Egipto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por acaso ambos os exemplos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ocidentais: é para aí que o centro cultural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 vai deslocando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seguintes. </w:t>
      </w:r>
    </w:p>
    <w:p w14:paraId="60724B8A" w14:textId="11BF4464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presença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dinastia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Egipto é,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X, um facto relativamente tardio, uma vez que o novo bloco nascera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África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Tunísia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), num momento em que a crise do regime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era evidente e em que, no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os emires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 mostravam incapazes de segurar qualquer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liderança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ocidente.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presença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Álidas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estende neste momento a sua zona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influência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Sicília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transformando-os, </w:t>
      </w:r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 xml:space="preserve">durante algum tempo, na face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visível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partir da Latinidade.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transferência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para o Egipto fazia parte de um plano de conquista e alargamento da legitimidade a toda a comunidade.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tal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viria a acontecer como o regime adquirirá, rapidamente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coloração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especificamente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egípcia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sua durabilidade aí (até ser derrubado por Saladino) atesta-o. Nenhum destes califados, embora com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pretensão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universal, conseguirá escapar á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regional que lhe era imanente. No caso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extensão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máxima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sua autoridade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incluira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podemos pensar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resiliência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velhas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divisões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tempo do Egipto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faraónico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ou do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limes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romano-persa. Mesmo no interior da comunidade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elas continuam a estar presentes. Internamente, o programa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acusa a sua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ideológica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nova capital, paralela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Fustat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Cairo, da qual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um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pólos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mais importantes do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; ambicioso programa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arquitectónico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se traduz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novas formas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artísticas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marcadamente orientalizantes;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pólo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ensino para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ciências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madrasa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al-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Azhar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criada para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difusão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shiismo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mas que acabará por ser o modelo para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implantação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em todo 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escola superior anexa à mesquita,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responsável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formação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elite letrada,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ulema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e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fuqaha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formam,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seguintes a estrutura dirigente da comunidade. </w:t>
      </w:r>
    </w:p>
    <w:p w14:paraId="2D9C02BD" w14:textId="71AF7556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>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apresenta-se como um caso diferente [do qual darei aqui apenas breves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tópicos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assunto sendo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objecto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cadeira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opção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leccionada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pelo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signatário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2o semestre de cada ano, que lhe é especificamente consagrada; cf. Programa no CV que acompanha o presente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Relatório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]. Em primeiro lugar porque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ninguém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contestara a legitimidade dos emires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o governavam desde 756: 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estava demasiado longe de Bagdad para tentar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emirado era relativamente pouco importante se comparado com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possessões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mais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próximas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Isso permite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extraordinária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sequência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dinástica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se estende de 756 a 1031. Mesmo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após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essa data, e até ao fim do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regime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mantera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sempre essa aura da verdadeira legitimidade. O seu relativo isolamento na periferia extrema do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deu-lhe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mais tempo para um crescimento lento. Nesse sentido se pode interpretar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orientalização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cultural feita pelos emires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IX à sombra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prestígio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longínqua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Bagdad, assim como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resistência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demonstrada perante os movimentos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fragmentação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feudalização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caracterizam os finais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IX 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começos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X. O grande renascimento protagonizado por ‘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Abd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Rahman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III deverá assim ser visto tanto como fruto de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consistência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dinástica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como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condições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favoráveis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caracterizam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No centro do programa está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assunção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título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nenhum dos seus antecessores tinha tentado e que ele justifica numa famosa carta aos governadores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províncias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Em torno dela acumulam-se as iniciativas: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redução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das periferias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submissão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dissidentes e montagem de um sistema de governos provinciais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nomeação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;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oficina de cunhagem de moeda para onde afluem os recursos do ouro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Níger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;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organização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exército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dependente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mercenários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eslavos em vez das tribos;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sociedade de corte; ambicioso programa construtivo em que se destaca a cidade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áulica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Madina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Al-Zahra, inspirada mais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palácios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bizantinos que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Baseada em modelos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económicos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orientais, a sociedade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tributária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palaciana que se desenvolve no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desse tempo,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vital para uma Europa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acerca da qual M. Bloch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falava na fome do ouro. Creio que sem essa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presença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próxima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seria mais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difícil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entender o arranque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económico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europeu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XI. </w:t>
      </w:r>
    </w:p>
    <w:p w14:paraId="611FFB40" w14:textId="5E47CA08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>11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Em torno de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Ibn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Khaldun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: a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atomização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do corpo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político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e os primeiros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domínios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turcos. </w:t>
      </w:r>
    </w:p>
    <w:p w14:paraId="6D4E02A9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val="en-US" w:eastAsia="pt-PT"/>
        </w:rPr>
        <w:lastRenderedPageBreak/>
        <w:t>Bibliografia</w:t>
      </w:r>
      <w:proofErr w:type="spellEnd"/>
      <w:r w:rsidRPr="00703F93">
        <w:rPr>
          <w:rFonts w:ascii="Times" w:eastAsia="Times New Roman" w:hAnsi="Times" w:cs="Times New Roman"/>
          <w:b/>
          <w:bCs/>
          <w:lang w:val="en-US" w:eastAsia="pt-PT"/>
        </w:rPr>
        <w:t xml:space="preserve">: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IBN KHALDUN,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>Discours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sur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>l’Historoire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>Universelle</w:t>
      </w:r>
      <w:proofErr w:type="spellEnd"/>
      <w:r w:rsidRPr="00703F93">
        <w:rPr>
          <w:rFonts w:ascii="TimesNewRomanPS" w:eastAsia="Times New Roman" w:hAnsi="TimesNewRomanPS" w:cs="Times New Roman"/>
          <w:i/>
          <w:iCs/>
          <w:lang w:val="en-US" w:eastAsia="pt-PT"/>
        </w:rPr>
        <w:t xml:space="preserve"> (al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-</w:t>
      </w:r>
      <w:proofErr w:type="spellStart"/>
      <w:r w:rsidRPr="00703F93">
        <w:rPr>
          <w:rFonts w:ascii="Times" w:eastAsia="Times New Roman" w:hAnsi="Times" w:cs="Times New Roman"/>
          <w:i/>
          <w:iCs/>
          <w:lang w:val="en-US" w:eastAsia="pt-PT"/>
        </w:rPr>
        <w:t>Muqaddima</w:t>
      </w:r>
      <w:proofErr w:type="spellEnd"/>
      <w:r w:rsidRPr="00703F93">
        <w:rPr>
          <w:rFonts w:ascii="Times" w:eastAsia="Times New Roman" w:hAnsi="Times" w:cs="Times New Roman"/>
          <w:i/>
          <w:iCs/>
          <w:lang w:val="en-US" w:eastAsia="pt-PT"/>
        </w:rPr>
        <w:t>)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Beirouth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Comission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Libanaise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pour la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traduction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des chefs-d’oeuvre, 1968. BERKEY, Jonathan P.,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The Formation of Islam. Religion and Society in the Near east, 600-1800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Cambridge, Cambridge University Press, 2003. CHOUEIRI, Youssef M. (ed.),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A Companion to the History of the Middle East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Oxford,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Blackwell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2005. </w:t>
      </w:r>
    </w:p>
    <w:p w14:paraId="64C8F1B9" w14:textId="031E6E26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br/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>:</w:t>
      </w:r>
      <w:r w:rsidRPr="00703F93">
        <w:rPr>
          <w:rFonts w:ascii="Times" w:eastAsia="Times New Roman" w:hAnsi="Times" w:cs="Times New Roman"/>
          <w:b/>
          <w:bCs/>
          <w:lang w:eastAsia="pt-PT"/>
        </w:rPr>
        <w:br/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pujança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oriental e ocidental reveste a forma de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mudança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escala nas unidades de governo. O problema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atomização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é, ainda,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questão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escala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observação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>- o renascimento persa.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estado, fiscalidade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mercenários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: a lenta chegada dos turcos.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estado militar fiscal.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militarização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sociedade e o triunfo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Iqta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um contraponto bizantino: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macedónico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feudalização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XI.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começo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fim de “Roma”.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 fim da fase (predominantemente)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turcos, curdos, ou a periferia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nómada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à conquista do centro civilizado (urbano). </w:t>
      </w:r>
    </w:p>
    <w:p w14:paraId="0BEE2871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fragmentação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corpo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até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 intocado,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implica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atomização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das unidades de governo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comparável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àquela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domina a Europa coeva ou algumas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áreas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 (observe-se, a este respeito, o caso das taifas andaluzas). Essa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atomização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virá mais tarde,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 e XII, tanto no al-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como no Oriente, aproveitando as oportunidades oferecidas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desintegração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estados que se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instalar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interstícios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deixados pela crise do califado durante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X. Por enquanto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a hora desses outros principados,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Omíada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Ocidente,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centro, persa e turco, depois curdo, a oriente.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essas unidades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novas que aqui interrogamos, em busca de uma chave para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neste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o grande historiador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XIV,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Ibn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Khaldun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entendeu situar num conflito estrutural entre a periferia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nómada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 centro urbano. </w:t>
      </w:r>
    </w:p>
    <w:p w14:paraId="3A7F85D3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A primeira delas, o estado que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Samânidas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aglutinam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 em torno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Bukhara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Transoxiânia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inscreve-se num registo diferente. Persas, governando persas, os emires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samânidas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liderar um renascimento nacional expresso numa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recuperação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língua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farsi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até aí resistira mal, do ponto de vista cultural,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 acentuam assim o peso crescente que o mundo persa vinha tendo dentro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desde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anterior. Pela mesma via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geográfica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penetração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outros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actores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contudo,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chegar ao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começando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aderir lentamente ao proselitismo dos guerreiros que faziam a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jihad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na fronteira. Chamam-lhes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Guzz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e vinham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altaica, mas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sobretudo conhecidos como turcos. Entram como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mercenários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e, desde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então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nenhum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exército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Oriente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passará sem eles, como a ocidente se dispensam cada vez menos os berberes, mais numerosos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disponíveis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os eslavos. Num caso como no outro, depressa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formarão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uma elite guerreira de que os estados dependem, da mesma forma que os principados feudais do ocidente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dependem dos bandos de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milites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unidos por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laços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vassalidade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prestes a transformarem-se numa nobreza.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diferença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essencial no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consiste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dominância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elemento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exógeno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tendência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desse elemento para se apropriar das estruturas do estado em vez de as erodir, como acontece na latinidade cristã. </w:t>
      </w:r>
    </w:p>
    <w:p w14:paraId="2A188FC8" w14:textId="41746818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 xml:space="preserve">Esta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apropriação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conhece o seu momento mais alto com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fundação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sultanato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formado por turcos à custa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domínios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persas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região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auto representado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como o restaurador da legitimidade sunita do califa de Bagdad. Este sistema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alianças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entre novos poderes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exógenos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velha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tradição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fará escola nos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seguintes.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rápida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islamização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arabização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estado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garante que ele possa recobrir com sucesso aquilo que a partir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 fora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influência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que remete para uma permeabilidade que favorece as osmoses culturais e que é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análoga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àquela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tinham demonstrado durante os primeiros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Hégira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O seu grande trunfo,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a centralidade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exército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estado. Em torno dele e para o alimentar, mais do que à tradicional burocracia, está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máquina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fiscal dominada pela </w:t>
      </w:r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‘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Iqta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instituição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se tem traduzido como feudo e que em certo sentido o é, atribuindo a um guerreiro uma renda ou uma terra que o responsabiliza pelo fornecimento de um contingente militar.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exército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deixa assim de ser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constituído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por </w:t>
      </w:r>
      <w:proofErr w:type="spellStart"/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mercenários</w:t>
      </w:r>
      <w:proofErr w:type="spellEnd"/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mas por senhores da guerra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vinculados ao estado pela precariedade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concessão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diferença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importante relativamente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ocidental cristã). Interessantemente,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era corrente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Bizâncio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conduzira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afirmação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aristocracia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terratenente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feudatária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minara a sociedade camponesa livre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Anatólia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anarquizara o centro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apesar dos repetidos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éditos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a </w:t>
      </w:r>
      <w:proofErr w:type="gramStart"/>
      <w:r w:rsidRPr="00703F93">
        <w:rPr>
          <w:rFonts w:ascii="Times" w:eastAsia="Times New Roman" w:hAnsi="Times" w:cs="Times New Roman"/>
          <w:i/>
          <w:iCs/>
          <w:lang w:eastAsia="pt-PT"/>
        </w:rPr>
        <w:t>contrario</w:t>
      </w:r>
      <w:proofErr w:type="gram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Basílio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II.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Vulnerável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durante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macedónico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tardio,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Bizâncio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quase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soçobra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na segunda metade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vitória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obtida pelos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sobre o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Basileus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Manzikert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vai agravar essa crise, abrindo, o que nenhum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exército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conseguira até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então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Anatólia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colonização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turca e redefinindo o mapa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região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recém-chegados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periferia acabavam de consolidar o centro que haviam docemente conquistado. Pouco tempo depois, outros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recém-chegados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estes berberes do Atlas, fariam o mesmo no al-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fortemente arabizado.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ocidente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mas no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os normandos,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bárbaros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norte cristianizados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pouco, encomendavam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Domesday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Book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0B50C473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>12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A nova religiosidade: de uma teologia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islâmica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ao sufismo. </w:t>
      </w:r>
    </w:p>
    <w:p w14:paraId="59EDA502" w14:textId="77777777" w:rsid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val="en-US" w:eastAsia="pt-PT"/>
        </w:rPr>
        <w:t>Bibliografia</w:t>
      </w:r>
      <w:proofErr w:type="spellEnd"/>
      <w:r w:rsidRPr="00703F93">
        <w:rPr>
          <w:rFonts w:ascii="Times" w:eastAsia="Times New Roman" w:hAnsi="Times" w:cs="Times New Roman"/>
          <w:b/>
          <w:bCs/>
          <w:lang w:val="en-US" w:eastAsia="pt-PT"/>
        </w:rPr>
        <w:t xml:space="preserve">: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ARBERRY, Arthur John,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Sufism. An account of the mystics of Islam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New York, Harper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Torchbooks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, 1970. GEERTZ, Clifford,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Islam observed. Religious development in Morocco and Indonesia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Yale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University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1968. URVOY, Dominique,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Histoire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de la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Pensée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Arabe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et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Islamique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Paris,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Seuil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2006. </w:t>
      </w:r>
    </w:p>
    <w:p w14:paraId="368CEC3E" w14:textId="58874EFA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br/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>:</w:t>
      </w:r>
      <w:r w:rsidRPr="00703F93">
        <w:rPr>
          <w:rFonts w:ascii="Times" w:eastAsia="Times New Roman" w:hAnsi="Times" w:cs="Times New Roman"/>
          <w:b/>
          <w:bCs/>
          <w:lang w:eastAsia="pt-PT"/>
        </w:rPr>
        <w:br/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recepção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legado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clássico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tentação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uma filosofia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mu’tazilismo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filósofos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 contraponto: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místicos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 eclodir das seitas sufi.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prática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fazer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ribat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sociedade urbana: ulema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fuqaha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ou o triunfo da sociedade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escrituralística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inquietação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religiosa: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monoteísmos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renovam-se entre o fim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 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XIII.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místicos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vedeta.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mais do que analogias,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convergências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a via do logos, a via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mística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78C9046" w14:textId="0CE035EA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Uma parte significativa da base social de apoio destes novos regimes está na cidade, onde as elites letradas educadas nas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madrasas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agora proliferam,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ciências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alcorânicas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Ilm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),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Ulema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e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jurisprudência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fiqh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>)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Fuqaha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formam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consciência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colectiva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aberta aos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contra-poderes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consciente dos seus deveres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guardiãs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 xml:space="preserve">comunidade. Alguns deles pertenciam ao grupo mais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selecto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sábios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cultores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Adab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e, uma minoria, estava familiarizado com as tentativas de produzir um conhecimento do Divino de base racional que, desde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IX alguns pensadores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vinham propondo. O primeiro fora talvez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Kindi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chegara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à radicalidade da proposta dos </w:t>
      </w:r>
      <w:proofErr w:type="spellStart"/>
      <w:r w:rsidRPr="00703F93">
        <w:rPr>
          <w:rFonts w:ascii="TimesNewRomanPS" w:eastAsia="Times New Roman" w:hAnsi="TimesNewRomanPS" w:cs="Times New Roman"/>
          <w:i/>
          <w:iCs/>
          <w:lang w:eastAsia="pt-PT"/>
        </w:rPr>
        <w:t>muta’zilitas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muitas vezes acusados de heresia por procurarem a via para uma teologia, isto é, para um conhecimento de Deus em moldes racionais. Uns e outros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mantêm-se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na esfera de um pensamento marginal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designação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“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filósofo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”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contém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muitas vezes uma carga pejorativa.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maioritário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é hostil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racionalização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sagrado. É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desse pensamento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minoritário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nascem alguns dos contributos mais importantes desta sociedade para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das ideias.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formulações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Avicena,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Pérsia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primeiro, em plena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eclosão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(um dos seus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correligionários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vizir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sultão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Malik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Shah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), depois as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Averróis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cadi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Córdova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protegido dos califas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almóadas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eles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próprios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árabes</w:t>
      </w:r>
      <w:proofErr w:type="spellEnd"/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mas berberes,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permitir,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técnica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comentário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rever o essencial do pensamento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aristotélico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, depois transmitido à Latinidade via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O mecenato cultural destes novos senhores tem aqui um lugar determinante. </w:t>
      </w:r>
    </w:p>
    <w:p w14:paraId="0AD21403" w14:textId="108112F9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O contraponto aos cultores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razão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está na via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místicos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representados sobretudo por um sufismo emergente,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a partir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X. Essa via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 faz 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própria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sem desafios à ortodoxia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levarão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alguns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místicos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martírio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Mas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compõe-se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sobretudo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práticas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socialmente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aceitáveis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como o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ribat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designa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simultâneo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 local da sua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concretização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fortificação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ou mosteiro fortaleza, onde comunidades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efémeras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vêm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combater na fronteira, 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terrestre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mas sobretudo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marítima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os inimigos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>jihad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, enquanto processo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aperfeiçoamento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interior, é parte dessa ascese. Enquanto ideal a Cruzada faz o seu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tímido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aparecimento, enquanto se aguarda que conjunturas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evolução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espiritualidade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análogas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provoquem o mesmo efeito no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Desde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XI, a voga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místicos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para de crescer e alguns deles, como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Ghazali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transformam-se em verdadeiras vedetas do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conhecidos e ouvidos muito para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seu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espaço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vital. Em curso está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renovação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decisiva da espiritualidade, que envolve ambos os lados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dara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lugar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radicalização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relações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entre cultores das duas vias de acesso a Deus, a racional e a emotiva. A cristandade filtrará essa nova espiritualidade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através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renovação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experiência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monástica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(os Cistercienses, S.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Galgano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Joaquim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Fiore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os Franciscanos) e, de outra forma, da Cruzada;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tem as suas ordens sufis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a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>jihad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De ambos os lados os combates entre vias opostas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violentos. Mas sem propor nenhuma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relação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causa e efeito,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parece haver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dúvidas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estamos cada vez mais em ambientes que partilham os mesmos problemas. </w:t>
      </w:r>
    </w:p>
    <w:p w14:paraId="38565DE7" w14:textId="63C99C88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>13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O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Islão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face ao Ocidente: as Cruzadas, um tempo de contacto. </w:t>
      </w:r>
    </w:p>
    <w:p w14:paraId="645D4434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Bibliografia: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CAHEN, Claude,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Orient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Occident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au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Temps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Croisades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Paris, Flammarion, 2010. GABRIELI, Francesco,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Arab Historians of the Crusades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Trad. por E. J. Costello. Los Angeles, University of California Press, 1969. RUNCIMAN, Steven,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História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das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Cruzadas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Lisboa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, Horizonte, 1992-1995, 3 vols. DANIEL, Norman,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The Arabs and Medieval Europe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Londres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/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Beirute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, Longman /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Librairie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du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Liban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, 1975.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Islam and the West. The Making of an Image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Edimburgo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>, Edinburgh University Press, 1966 (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reimp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.). </w:t>
      </w:r>
    </w:p>
    <w:p w14:paraId="690E5E32" w14:textId="42C1A071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>:</w:t>
      </w:r>
      <w:r w:rsidRPr="00703F93">
        <w:rPr>
          <w:rFonts w:ascii="Times" w:eastAsia="Times New Roman" w:hAnsi="Times" w:cs="Times New Roman"/>
          <w:b/>
          <w:bCs/>
          <w:lang w:eastAsia="pt-PT"/>
        </w:rPr>
        <w:br/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- o primeiro abalo: 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pós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Manzikert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ou o fim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equilíbrio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multi-secular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740A62A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enésima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vaga de Povos do Mar: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constituição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estados francos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-Palestina.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do torpor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reacção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de Edessa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Jerusalém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passando por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Hattin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uma oportunidade filha das Cruzadas: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recomposição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Ayyubida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estado militar, ou do papel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político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jihad.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as Cruzadas do ponto de vista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fenómeno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comparativamente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periférico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sentidos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aculturação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a primeira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orientalização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Ocidente latino, ou como o mundo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chega à Europa.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>- o outro Ultramar: 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4C636DC8" w14:textId="1934DB8E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Se a batalha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Manzikert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representa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começo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fim do </w:t>
      </w:r>
      <w:proofErr w:type="spellStart"/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domínio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Bizantino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Anatólia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podera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ser vista como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episódio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crescente protagonismo, na cena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de novos senhores: é o caso no Oriente dos turcos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curdos, que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XII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conseguirão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construir aí alguns principados importantes e, no Ocidente, dos normandos que se apossam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Sicília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depois de terem feito o mesmo em Inglaterra. Essa conquista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o verdadeiro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pontape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saída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para um movimento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europeia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direcção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como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objectivo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inicial 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Sícilia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Palestina, mas que, a partir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inícios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Duzentos, passará a abarcar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 mundo Bizantino do Egeu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própria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cidade de Constantinopla. De uma forma ou de outra todo este movimento expansionista acabará por encontrar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expressão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ideológica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conceito de Cruzada, inscrevendo-se na atmosfera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renovação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sentimento religioso que percorre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Cem anos depois do seu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início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toda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multi-secular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equilíbrio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bacia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estabelecido depois da conquista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se encontra subvertido. </w:t>
      </w:r>
    </w:p>
    <w:p w14:paraId="1D777922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Interessa-nos aqui sobretudo o ponto de vista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recepção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mundo oriental dessas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mudanças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E, vista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 chegada dos Cruzados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foi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mais uma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invasões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ocidentais que a zona havia conhecido desde os Povos do Mar. O seu resultado,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constituição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estados francos do Ultramar, o reino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Jerusalém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o principado de Antioquia, os condados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Tripoli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de Edessa, um evento mais decisivo para os interesses dos grandes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feudatários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ocidentais e para o futuro da latinidade, pelo imenso processo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aculturação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representa, que para os balcanizados interesses locais das pequenas dinastias que se tinham vindo a instalar sobre o tecido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desagregação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1FE14E8E" w14:textId="7FC939E7" w:rsidR="00B32E86" w:rsidRDefault="00703F93" w:rsidP="006D5717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Isso explica o relativo torpor com que 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recebe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invasão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desperta para a conquista de Edessa, em1144, quase meio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passado sobre a perda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Jerusalém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O principal catalisador dessa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reacção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o estado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Ayyubida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fundado no Egipto por um chefe militar curdo,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Salah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sobre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ruínas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estado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fatímida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O seu poder é essencialmente militar, como se verá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Hattin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depois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Jerusalém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representa a verdadeira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vitória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modelo de estado militar fiscal, tal como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 tinham estabelecido. O seu sucesso enquanto garante da unidade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repousa pois na capacidade para liderar a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jihad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da mesma forma que a celebridade que grangeia entre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cristãos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lhe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advém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reconhecimento das virtudes militares e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identificação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com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padrões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conduta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código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cavalaria. Apesar de separadas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pela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diferença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civilizacional, ambas as partes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presença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encontram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património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comum, que resulta tanto do processo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militarização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sofrido pela sociedade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desde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anterior, como da progressiva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orientalização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cristandade, tanto em termos de cultura material e vida quotidiana, como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património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intelectual. Processos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análogos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estão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correr,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mais tempo de resto, quer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Sicília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normanda quer no al-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Andalus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Aí se vai forjando uma sociedade que partilha muitos dos seus valores: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 xml:space="preserve">militar enquanto mecanismo de conferir estatuto, algo de novo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; o gosto do luxo e da vida urbana sofisticada;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paixão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pelos livros,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ciências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Apesar de fundadas no conflito, depois das Cruzadas o mundo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é mais igual. </w:t>
      </w:r>
    </w:p>
    <w:p w14:paraId="65BF52AB" w14:textId="77777777" w:rsidR="00B32E86" w:rsidRDefault="00B32E86" w:rsidP="006D5717">
      <w:pPr>
        <w:rPr>
          <w:rFonts w:ascii="TimesNewRomanPSMT" w:eastAsia="Times New Roman" w:hAnsi="TimesNewRomanPSMT" w:cs="Times New Roman"/>
          <w:lang w:eastAsia="pt-PT"/>
        </w:rPr>
      </w:pPr>
      <w:r>
        <w:rPr>
          <w:rFonts w:ascii="TimesNewRomanPSMT" w:eastAsia="Times New Roman" w:hAnsi="TimesNewRomanPSMT" w:cs="Times New Roman"/>
          <w:lang w:eastAsia="pt-PT"/>
        </w:rPr>
        <w:br w:type="page"/>
      </w:r>
    </w:p>
    <w:p w14:paraId="7BDD9C7C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</w:p>
    <w:p w14:paraId="218F53C3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V- As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invasões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(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sécs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>. XIII-XV)</w:t>
      </w:r>
      <w:r w:rsidRPr="00703F93">
        <w:rPr>
          <w:rFonts w:ascii="Times" w:eastAsia="Times New Roman" w:hAnsi="Times" w:cs="Times New Roman"/>
          <w:b/>
          <w:bCs/>
          <w:lang w:eastAsia="pt-PT"/>
        </w:rPr>
        <w:br/>
        <w:t>14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Os homens das estepes e o fim do mundo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islâmico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antigo. </w:t>
      </w:r>
    </w:p>
    <w:p w14:paraId="4B0AE680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val="en-US" w:eastAsia="pt-PT"/>
        </w:rPr>
        <w:t>Bibliografia</w:t>
      </w:r>
      <w:proofErr w:type="spellEnd"/>
      <w:r w:rsidRPr="00703F93">
        <w:rPr>
          <w:rFonts w:ascii="Times" w:eastAsia="Times New Roman" w:hAnsi="Times" w:cs="Times New Roman"/>
          <w:b/>
          <w:bCs/>
          <w:lang w:val="en-US" w:eastAsia="pt-PT"/>
        </w:rPr>
        <w:t xml:space="preserve">: 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CHOUEIRI, Youssef M. (ed.),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A Companion to the History of the Middle East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Oxford,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Blackwell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2005.PHILIPS, E. D., </w:t>
      </w:r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Os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Lisboa, Verbo, 1971.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Apoios: mapa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expansão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mongol </w:t>
      </w:r>
    </w:p>
    <w:p w14:paraId="7C399835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: </w:t>
      </w:r>
    </w:p>
    <w:p w14:paraId="4891360B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- 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ainda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Ibn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Khaldun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pares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Banu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Hilal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Ásia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central, origem de um fluxo quase ininterrupto de invasores dirigidos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Oriente,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à China.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devastação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velhos centros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pilhagem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simbólica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Baghdad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contrário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turcos,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 islamizam. As possibilidades abertas para a Cristandade.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mongol ou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unificação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Eurásia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uma nova periferia?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resistência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apesar de tudo: os Mamelucos salvam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e, de caminho,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Europa.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o fim do fim do mundo antigo: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Tamerlão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destruição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complexo urbano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médio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- oriental. </w:t>
      </w:r>
    </w:p>
    <w:p w14:paraId="077C8188" w14:textId="39761B5A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O mundo das Cruzadas corresponde ao culminar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transformação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grande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ruptura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porém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mais tardia, correspondendo à chegada de uma nova vaga de invasores, esta muito mais destrutiva do que as anteriores, todas elas graduais e caracterizadas por processos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integração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na sociedade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Próximo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Oriente bastante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rápidos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vaga, que irá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afectar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os principados russos emergentes 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gramStart"/>
      <w:r w:rsidRPr="00703F93">
        <w:rPr>
          <w:rFonts w:ascii="TimesNewRomanPSMT" w:eastAsia="Times New Roman" w:hAnsi="TimesNewRomanPSMT" w:cs="Times New Roman"/>
          <w:lang w:eastAsia="pt-PT"/>
        </w:rPr>
        <w:t>tem</w:t>
      </w:r>
      <w:proofErr w:type="gram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origem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Ásia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central numa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confederação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das tribos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alastra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direcção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quase todos as antigas placas civilizacionais,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Mediterrânica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Persa e Chinesa, num movimento cuja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direcção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é condicionada, como a de um rio, pelo grande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obstáculo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natural dos Himalaias.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consequências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área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devastadoras e podem ser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epitomizadas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pelo saque de Bagdad (1258) e pelo estrangulamento do califa. Tal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contrário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ao que haviam feito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seljúcidas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revela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carácter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a-religioso e por isso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inassimilável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nesta fase e pode ser utilizado como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indício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para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nível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destruição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perpetrado sobre as estruturas urbanas das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regiões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conquistadas.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hesitação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revelada pelos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líderes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acerca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religião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seguir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mantém-lhes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obstante um capital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crédito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o papa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tardará em aproveitar, tentando tirar partido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dimensão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euro-asiática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para promover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universalização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catolicismo. As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missões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frades à China, anteriores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destruição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Bagdad,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sintomas disso.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projecto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era ainda de envolvimento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por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países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cristãos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revela a capacidade de pensar a uma escala global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projecto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teocrático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papado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então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4E81EA3D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O problema que se colocava para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era, por isso,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sobrevivência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Dela se encarregará um novo regime nascido no Egipto,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substituição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Ayyubida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Protagonizado por uma aristocracia militar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burocrática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origem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livre (os Mamelucos), vem acentuar a centralidade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exército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ao mesmo tempo que substitui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princípio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sucessão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hereditária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por um regime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electivo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controlado pelas casernas.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pois, mais uma vez, elementos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exógenos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vêm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salvar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quando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sultão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Baibars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derrota finalmente os invasores.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refúgio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últimos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abássidas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Cairo, onde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>levarão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até à conquista otomana uma discreta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existência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califal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como elementos legitimadores do novo regime, e o controle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Síria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garantem ao regime mameluco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sólida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posição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liderança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da Idade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Média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tardia (ou do fim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meio). A parte oriental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fica englobada nos canatos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até que um novo e final golpe seja desferido pelos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turco-mongóis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Tamerlão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Aí acabará, finalmente, o mundo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pós-helenístico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bem preservara. A partir daí deixará de poder rivalizar com o ocidente em franca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088D9056" w14:textId="030423F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>15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A decisiva </w:t>
      </w: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recomposição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 otomana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6A2832C6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pt-PT"/>
        </w:rPr>
      </w:pPr>
      <w:r w:rsidRPr="00703F93">
        <w:rPr>
          <w:rFonts w:ascii="Times" w:eastAsia="Times New Roman" w:hAnsi="Times" w:cs="Times New Roman"/>
          <w:b/>
          <w:bCs/>
          <w:lang w:eastAsia="pt-PT"/>
        </w:rPr>
        <w:t xml:space="preserve">Bibliografia: </w:t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PATLAGEAN,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Évelyne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Un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Moyen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Âge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grec</w:t>
      </w:r>
      <w:proofErr w:type="spellEnd"/>
      <w:r w:rsidRPr="00703F93">
        <w:rPr>
          <w:rFonts w:ascii="Times" w:eastAsia="Times New Roman" w:hAnsi="Times" w:cs="Times New Roman"/>
          <w:i/>
          <w:iCs/>
          <w:lang w:eastAsia="pt-PT"/>
        </w:rPr>
        <w:t xml:space="preserve">. </w:t>
      </w:r>
      <w:proofErr w:type="spellStart"/>
      <w:r w:rsidRPr="00703F93">
        <w:rPr>
          <w:rFonts w:ascii="Times" w:eastAsia="Times New Roman" w:hAnsi="Times" w:cs="Times New Roman"/>
          <w:i/>
          <w:iCs/>
          <w:lang w:val="en-US" w:eastAsia="pt-PT"/>
        </w:rPr>
        <w:t>Byzance</w:t>
      </w:r>
      <w:proofErr w:type="spellEnd"/>
      <w:r w:rsidRPr="00703F93">
        <w:rPr>
          <w:rFonts w:ascii="Times" w:eastAsia="Times New Roman" w:hAnsi="Times" w:cs="Times New Roman"/>
          <w:i/>
          <w:iCs/>
          <w:lang w:val="en-US" w:eastAsia="pt-PT"/>
        </w:rPr>
        <w:t xml:space="preserve"> IX-XV </w:t>
      </w:r>
      <w:proofErr w:type="spellStart"/>
      <w:r w:rsidRPr="00703F93">
        <w:rPr>
          <w:rFonts w:ascii="Times" w:eastAsia="Times New Roman" w:hAnsi="Times" w:cs="Times New Roman"/>
          <w:i/>
          <w:iCs/>
          <w:lang w:val="en-US" w:eastAsia="pt-PT"/>
        </w:rPr>
        <w:t>siècle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Paris, Albin Michel, 2007. SAUNDERS, J. J., </w:t>
      </w:r>
      <w:r w:rsidRPr="00703F93">
        <w:rPr>
          <w:rFonts w:ascii="Times" w:eastAsia="Times New Roman" w:hAnsi="Times" w:cs="Times New Roman"/>
          <w:i/>
          <w:iCs/>
          <w:lang w:val="en-US" w:eastAsia="pt-PT"/>
        </w:rPr>
        <w:t>A History of Medieval Islam</w:t>
      </w:r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. London, </w:t>
      </w:r>
      <w:proofErr w:type="spellStart"/>
      <w:r w:rsidRPr="00703F93">
        <w:rPr>
          <w:rFonts w:ascii="TimesNewRomanPSMT" w:eastAsia="Times New Roman" w:hAnsi="TimesNewRomanPSMT" w:cs="Times New Roman"/>
          <w:lang w:val="en-US" w:eastAsia="pt-PT"/>
        </w:rPr>
        <w:t>Rouledge</w:t>
      </w:r>
      <w:proofErr w:type="spellEnd"/>
      <w:r w:rsidRPr="00703F93">
        <w:rPr>
          <w:rFonts w:ascii="TimesNewRomanPSMT" w:eastAsia="Times New Roman" w:hAnsi="TimesNewRomanPSMT" w:cs="Times New Roman"/>
          <w:lang w:val="en-US" w:eastAsia="pt-PT"/>
        </w:rPr>
        <w:t xml:space="preserve"> and Kegan Paul, 1980. </w:t>
      </w:r>
    </w:p>
    <w:p w14:paraId="2330B790" w14:textId="50E46D28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" w:eastAsia="Times New Roman" w:hAnsi="Times" w:cs="Times New Roman"/>
          <w:b/>
          <w:bCs/>
          <w:lang w:eastAsia="pt-PT"/>
        </w:rPr>
        <w:t>Tópicos</w:t>
      </w:r>
      <w:proofErr w:type="spellEnd"/>
      <w:r w:rsidRPr="00703F93">
        <w:rPr>
          <w:rFonts w:ascii="Times" w:eastAsia="Times New Roman" w:hAnsi="Times" w:cs="Times New Roman"/>
          <w:b/>
          <w:bCs/>
          <w:lang w:eastAsia="pt-PT"/>
        </w:rPr>
        <w:t>:</w:t>
      </w:r>
      <w:r w:rsidRPr="00703F93">
        <w:rPr>
          <w:rFonts w:ascii="Times" w:eastAsia="Times New Roman" w:hAnsi="Times" w:cs="Times New Roman"/>
          <w:b/>
          <w:bCs/>
          <w:lang w:eastAsia="pt-PT"/>
        </w:rPr>
        <w:br/>
      </w:r>
      <w:r w:rsidRPr="00703F93">
        <w:rPr>
          <w:rFonts w:ascii="TimesNewRomanPSMT" w:eastAsia="Times New Roman" w:hAnsi="TimesNewRomanPSMT" w:cs="Times New Roman"/>
          <w:lang w:eastAsia="pt-PT"/>
        </w:rPr>
        <w:t xml:space="preserve">- na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Anatólia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uma tribo turca ocupa o vazio deixado pelo colapso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Bizantino.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um novo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se arabiza.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emergência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Estado Otomano.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conquista de Constantinopla: um novo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Romano, agora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Sultão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Califa: a queda do Egipto mameluco ou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último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passo para a conquista da legitimidade dentro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>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- A nova ordem mundial: Oriente/Ocidente igual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Otomano/Europa. </w:t>
      </w:r>
    </w:p>
    <w:p w14:paraId="1EFEDCCA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recomposição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que de feito pertence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ja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mais à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História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durante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período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moderno, do que à narrativa que aqui produzimos, vem de um lugar altamente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improvável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uma tribo turca, otomana ou osmanli, instalada na antiga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Bítinia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à sombra da agora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decrépita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Constantinopla, conseguirá a partir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começos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muito modestos, reerguer uma unidade que corresponde mais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Bizantino do que aos principados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islâmicos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antecedentes (uma vez que nunca controlará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Pérsia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territórios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orientais da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Umma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), mas que acabará por ser a face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visível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até ao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XX. </w:t>
      </w:r>
    </w:p>
    <w:p w14:paraId="3269042E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r w:rsidRPr="00703F93">
        <w:rPr>
          <w:rFonts w:ascii="TimesNewRomanPSMT" w:eastAsia="Times New Roman" w:hAnsi="TimesNewRomanPSMT" w:cs="Times New Roman"/>
          <w:lang w:eastAsia="pt-PT"/>
        </w:rPr>
        <w:t xml:space="preserve">As vicissitudes de crescimento dessa tribo prendem-se em grande medida (em negativo) com a crise conhecida pelo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Neo-Bizantino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(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pós-Niceia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) durante a primeira metade de Trezentos, que lhe permitirá ter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espaço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crescimento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em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território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asiático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como iniciar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europeia que vai reduzindo cada vez mais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aos muros da sua cidade mais importante. Essa matriz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turco ficará para sempre: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muçulmano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ele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europeu 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balcânico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além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anatólico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Este era o mundo grego e eslavo,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tradicional esfera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semito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-persa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Por isso, seguramente, os turcos nunca se arabizaram e acabam por marcar aqui uma nova fase do </w:t>
      </w:r>
    </w:p>
    <w:p w14:paraId="782B699F" w14:textId="77777777" w:rsidR="00703F93" w:rsidRPr="00703F93" w:rsidRDefault="00703F93" w:rsidP="006D571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PT"/>
        </w:rPr>
      </w:pP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: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Islão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não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Neste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impõem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uma burocracia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própria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, embora funcionalmente clonada da hierarquizada sociedade bizantina e um pluralismo que tornará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uma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construção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essencialmente cosmopolita.</w:t>
      </w:r>
      <w:r w:rsidRPr="00703F93">
        <w:rPr>
          <w:rFonts w:ascii="TimesNewRomanPSMT" w:eastAsia="Times New Roman" w:hAnsi="TimesNewRomanPSMT" w:cs="Times New Roman"/>
          <w:lang w:eastAsia="pt-PT"/>
        </w:rPr>
        <w:br/>
        <w:t xml:space="preserve">Dois marcos decisivos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acabarão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por lhe cunhar a fisionomia futura: a conquista de Constantinopla, consumada sete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séculos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depois do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falhanço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árabe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e que garante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sobreposição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perfeita à anterior estrutura bizantina; a conquista do Cairo, que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repõe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Império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nos limites do tempo de Justiniano, e assegura para o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sultão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liderança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indisputada da </w:t>
      </w:r>
      <w:proofErr w:type="spellStart"/>
      <w:r w:rsidRPr="00703F93">
        <w:rPr>
          <w:rFonts w:ascii="Times" w:eastAsia="Times New Roman" w:hAnsi="Times" w:cs="Times New Roman"/>
          <w:i/>
          <w:iCs/>
          <w:lang w:eastAsia="pt-PT"/>
        </w:rPr>
        <w:t>Umma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A partir de agora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sera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́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também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califa e senhor de um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lastRenderedPageBreak/>
        <w:t>Mediterrâneo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 oriental que parece capaz de se mediar com a Europa, na altura da sua maior </w:t>
      </w:r>
      <w:proofErr w:type="spellStart"/>
      <w:r w:rsidRPr="00703F93">
        <w:rPr>
          <w:rFonts w:ascii="TimesNewRomanPSMT" w:eastAsia="Times New Roman" w:hAnsi="TimesNewRomanPSMT" w:cs="Times New Roman"/>
          <w:lang w:eastAsia="pt-PT"/>
        </w:rPr>
        <w:t>expansão</w:t>
      </w:r>
      <w:proofErr w:type="spellEnd"/>
      <w:r w:rsidRPr="00703F93">
        <w:rPr>
          <w:rFonts w:ascii="TimesNewRomanPSMT" w:eastAsia="Times New Roman" w:hAnsi="TimesNewRomanPSMT" w:cs="Times New Roman"/>
          <w:lang w:eastAsia="pt-PT"/>
        </w:rPr>
        <w:t xml:space="preserve">. </w:t>
      </w:r>
    </w:p>
    <w:p w14:paraId="23B98499" w14:textId="77777777" w:rsidR="00BB7BB4" w:rsidRDefault="00BB7BB4" w:rsidP="006D5717"/>
    <w:sectPr w:rsidR="00BB7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93"/>
    <w:rsid w:val="00382932"/>
    <w:rsid w:val="006D5717"/>
    <w:rsid w:val="00703F93"/>
    <w:rsid w:val="007E2CE3"/>
    <w:rsid w:val="00B14DEE"/>
    <w:rsid w:val="00B32E86"/>
    <w:rsid w:val="00BB7BB4"/>
    <w:rsid w:val="00BF724D"/>
    <w:rsid w:val="00C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EE784"/>
  <w15:chartTrackingRefBased/>
  <w15:docId w15:val="{904DB0B4-7377-CD46-B277-1511E7D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F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customStyle="1" w:styleId="msonormal0">
    <w:name w:val="msonormal"/>
    <w:basedOn w:val="Normal"/>
    <w:rsid w:val="00BF72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0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5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3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15797</Words>
  <Characters>85304</Characters>
  <Application>Microsoft Office Word</Application>
  <DocSecurity>0</DocSecurity>
  <Lines>710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Hermenegildo Nuno Goinhas Fernandes</dc:creator>
  <cp:keywords/>
  <dc:description/>
  <cp:lastModifiedBy>Hermenegildo Nuno Goinhas Fernandes</cp:lastModifiedBy>
  <cp:revision>3</cp:revision>
  <dcterms:created xsi:type="dcterms:W3CDTF">2022-10-13T10:22:00Z</dcterms:created>
  <dcterms:modified xsi:type="dcterms:W3CDTF">2022-10-13T10:23:00Z</dcterms:modified>
</cp:coreProperties>
</file>